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10dec7fac40cb" /></Relationships>
</file>

<file path=word/document.xml><?xml version="1.0" encoding="utf-8"?>
<w:document xmlns:w="http://schemas.openxmlformats.org/wordprocessingml/2006/main">
  <w:body>
    <w:p>
      <w:r>
        <w:t>S-6166.1</w:t>
      </w:r>
    </w:p>
    <w:p>
      <w:pPr>
        <w:jc w:val="center"/>
      </w:pPr>
      <w:r>
        <w:t>_______________________________________________</w:t>
      </w:r>
    </w:p>
    <w:p/>
    <w:p>
      <w:pPr>
        <w:jc w:val="center"/>
      </w:pPr>
      <w:r>
        <w:rPr>
          <w:b/>
        </w:rPr>
        <w:t>SUBSTITUTE SENATE BILL 6631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 Saldaña)</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sales and use tax for affordable and supportive housing; and amending RCW 82.14.540.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540</w:t>
      </w:r>
      <w:r>
        <w:rPr/>
        <w:t xml:space="preserve"> and 2019 c 338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w:t>
      </w:r>
      <w:r>
        <w:t>((</w:t>
      </w:r>
      <w:r>
        <w:rPr>
          <w:strike/>
        </w:rPr>
        <w:t xml:space="preserve">instated no later than twelve months after July 28, 2019</w:t>
      </w:r>
      <w:r>
        <w:t>))</w:t>
      </w:r>
      <w:r>
        <w:rPr/>
        <w:t xml:space="preserve"> </w:t>
      </w:r>
      <w:r>
        <w:rPr>
          <w:u w:val="single"/>
        </w:rPr>
        <w:t xml:space="preserve">adopted by December 31, 2021</w:t>
      </w:r>
      <w:r>
        <w:rPr/>
        <w:t xml:space="preserve">:</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w:t>
      </w:r>
      <w:r>
        <w:t>((</w:t>
      </w:r>
      <w:r>
        <w:rPr>
          <w:strike/>
        </w:rPr>
        <w:t xml:space="preserve">the tax at a minimum or [of]</w:t>
      </w:r>
      <w:r>
        <w:t>))</w:t>
      </w:r>
      <w:r>
        <w:rPr/>
        <w:t xml:space="preserve">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 </w:t>
      </w:r>
      <w:r>
        <w:rPr>
          <w:u w:val="single"/>
        </w:rPr>
        <w:t xml:space="preserve">Starting on the effective date of this section, a city that has not adopted a qualifying local tax but intends to before December 31, 2021, must adopt a notice of intent to adopt the qualifying local tax by July 28, 2020, and send a copy to the department and the county that the city is located within.</w:t>
      </w:r>
    </w:p>
    <w:p>
      <w:pPr>
        <w:spacing w:before="0" w:after="0" w:line="408" w:lineRule="exact"/>
        <w:ind w:left="0" w:right="0" w:firstLine="576"/>
        <w:jc w:val="left"/>
      </w:pPr>
      <w:r>
        <w:rPr>
          <w:u w:val="single"/>
        </w:rPr>
        <w:t xml:space="preserve">(3)</w:t>
      </w:r>
      <w:r>
        <w:rPr/>
        <w:t xml:space="preserve">(a)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w:t>
      </w:r>
      <w:r>
        <w:t>((</w:t>
      </w:r>
      <w:r>
        <w:rPr>
          <w:strike/>
        </w:rPr>
        <w:t xml:space="preserve">Beginning on July 28, 2019, until twelve months after July 28, 2019:</w:t>
      </w:r>
    </w:p>
    <w:p>
      <w:pPr>
        <w:spacing w:before="0" w:after="0" w:line="408" w:lineRule="exact"/>
        <w:ind w:left="0" w:right="0" w:firstLine="576"/>
        <w:jc w:val="left"/>
      </w:pPr>
      <w:r>
        <w:rPr>
          <w:strike/>
        </w:rPr>
        <w:t xml:space="preserve">(A)</w:t>
      </w:r>
      <w:r>
        <w:t>))</w:t>
      </w:r>
      <w:r>
        <w:rPr/>
        <w:t xml:space="preserve"> 0.0073 percent for 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t>
      </w:r>
      <w:r>
        <w:rPr/>
        <w:t xml:space="preserve">Participating city</w:t>
      </w:r>
      <w:r>
        <w:t>((</w:t>
      </w:r>
      <w:r>
        <w:rPr>
          <w:strike/>
        </w:rPr>
        <w:t xml:space="preserve">, unless the participating city levies a qualifying local tax</w:t>
      </w:r>
      <w:r>
        <w:t>))</w:t>
      </w:r>
      <w:r>
        <w:rPr/>
        <w:t xml:space="preserve"> </w:t>
      </w:r>
      <w:r>
        <w:rPr>
          <w:u w:val="single"/>
        </w:rPr>
        <w:t xml:space="preserve">that does not levy a qualifying tax</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Participating county, within the limits of </w:t>
      </w:r>
      <w:r>
        <w:t>((</w:t>
      </w:r>
      <w:r>
        <w:rPr>
          <w:strike/>
        </w:rPr>
        <w:t xml:space="preserve">nonparticipating cities</w:t>
      </w:r>
      <w:r>
        <w:t>))</w:t>
      </w:r>
      <w:r>
        <w:rPr/>
        <w:t xml:space="preserve"> </w:t>
      </w:r>
      <w:r>
        <w:rPr>
          <w:u w:val="single"/>
        </w:rPr>
        <w:t xml:space="preserve">a participating city</w:t>
      </w:r>
      <w:r>
        <w:rPr/>
        <w:t xml:space="preserve"> within the county and within participating cities that do not </w:t>
      </w:r>
      <w:r>
        <w:t>((</w:t>
      </w:r>
      <w:r>
        <w:rPr>
          <w:strike/>
        </w:rPr>
        <w:t xml:space="preserve">currently</w:t>
      </w:r>
      <w:r>
        <w:t>))</w:t>
      </w:r>
      <w:r>
        <w:rPr/>
        <w:t xml:space="preserve"> levy a qualifying tax;</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0.0146 percent for 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Participating city that </w:t>
      </w:r>
      <w:r>
        <w:t>((</w:t>
      </w:r>
      <w:r>
        <w:rPr>
          <w:strike/>
        </w:rPr>
        <w:t xml:space="preserve">currently</w:t>
      </w:r>
      <w:r>
        <w:t>))</w:t>
      </w:r>
      <w:r>
        <w:rPr/>
        <w:t xml:space="preserve"> levies a qualifying local tax;</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Participating city </w:t>
      </w:r>
      <w:r>
        <w:t>((</w:t>
      </w:r>
      <w:r>
        <w:rPr>
          <w:strike/>
        </w:rPr>
        <w:t xml:space="preserve">if the county in which it is located declares they will not levy the sales and use tax authorized under this section or does not adopt a resolution in accordance with this section</w:t>
      </w:r>
      <w:r>
        <w:t>))</w:t>
      </w:r>
      <w:r>
        <w:rPr/>
        <w:t xml:space="preserve"> </w:t>
      </w:r>
      <w:r>
        <w:rPr>
          <w:u w:val="single"/>
        </w:rPr>
        <w:t xml:space="preserve">within a nonparticipating county</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Participating county within the unincorporated areas of the county and </w:t>
      </w:r>
      <w:r>
        <w:rPr>
          <w:u w:val="single"/>
        </w:rPr>
        <w:t xml:space="preserve">within</w:t>
      </w:r>
      <w:r>
        <w:rPr/>
        <w:t xml:space="preserve"> any </w:t>
      </w:r>
      <w:r>
        <w:rPr>
          <w:u w:val="single"/>
        </w:rPr>
        <w:t xml:space="preserve">nonparticipating</w:t>
      </w:r>
      <w:r>
        <w:rPr/>
        <w:t xml:space="preserve"> city </w:t>
      </w:r>
      <w:r>
        <w:t>((</w:t>
      </w:r>
      <w:r>
        <w:rPr>
          <w:strike/>
        </w:rPr>
        <w:t xml:space="preserve">that declares they will not levy the sales and use tax authorized under this section or does not adopt a resolution in accordance with this section;</w:t>
      </w:r>
    </w:p>
    <w:p>
      <w:pPr>
        <w:spacing w:before="0" w:after="0" w:line="408" w:lineRule="exact"/>
        <w:ind w:left="0" w:right="0" w:firstLine="576"/>
        <w:jc w:val="left"/>
      </w:pPr>
      <w:r>
        <w:rPr>
          <w:strike/>
        </w:rPr>
        <w:t xml:space="preserve">(ii) Beginning twelve months after July 28, 2019:</w:t>
      </w:r>
    </w:p>
    <w:p>
      <w:pPr>
        <w:spacing w:before="0" w:after="0" w:line="408" w:lineRule="exact"/>
        <w:ind w:left="0" w:right="0" w:firstLine="576"/>
        <w:jc w:val="left"/>
      </w:pPr>
      <w:r>
        <w:rPr>
          <w:strike/>
        </w:rPr>
        <w:t xml:space="preserve">(A) 0.0073 percent for a:</w:t>
      </w:r>
    </w:p>
    <w:p>
      <w:pPr>
        <w:spacing w:before="0" w:after="0" w:line="408" w:lineRule="exact"/>
        <w:ind w:left="0" w:right="0" w:firstLine="576"/>
        <w:jc w:val="left"/>
      </w:pPr>
      <w:r>
        <w:rPr>
          <w:strike/>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strike/>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strike/>
        </w:rPr>
        <w:t xml:space="preserve">(B) 0.0146 percent within the limits of a:</w:t>
      </w:r>
    </w:p>
    <w:p>
      <w:pPr>
        <w:spacing w:before="0" w:after="0" w:line="408" w:lineRule="exact"/>
        <w:ind w:left="0" w:right="0" w:firstLine="576"/>
        <w:jc w:val="left"/>
      </w:pPr>
      <w:r>
        <w:rPr>
          <w:strike/>
        </w:rPr>
        <w:t xml:space="preserve">(I) Participating city that is levying a qualifying local tax; and</w:t>
      </w:r>
    </w:p>
    <w:p>
      <w:pPr>
        <w:spacing w:before="0" w:after="0" w:line="408" w:lineRule="exact"/>
        <w:ind w:left="0" w:right="0" w:firstLine="576"/>
        <w:jc w:val="left"/>
      </w:pPr>
      <w:r>
        <w:rPr>
          <w:strike/>
        </w:rPr>
        <w:t xml:space="preserve">(II) Participating county within the unincorporated area of the county and within the limits of any nonparticipating city that is located within the county</w:t>
      </w:r>
      <w:r>
        <w:t>))</w:t>
      </w:r>
      <w:r>
        <w:rPr/>
        <w:t xml:space="preserve">.</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w:t>
      </w:r>
      <w:r>
        <w:t>((</w:t>
      </w:r>
      <w:r>
        <w:rPr>
          <w:strike/>
        </w:rPr>
        <w:t xml:space="preserve">the maximum capacity of</w:t>
      </w:r>
      <w:r>
        <w:t>))</w:t>
      </w:r>
      <w:r>
        <w:rPr/>
        <w:t xml:space="preserve"> the tax in this section within six months of July 28, 2019; and</w:t>
      </w:r>
    </w:p>
    <w:p>
      <w:pPr>
        <w:spacing w:before="0" w:after="0" w:line="408" w:lineRule="exact"/>
        <w:ind w:left="0" w:right="0" w:firstLine="576"/>
        <w:jc w:val="left"/>
      </w:pPr>
      <w:r>
        <w:rPr/>
        <w:t xml:space="preserve">(B) Legislation to authorize </w:t>
      </w:r>
      <w:r>
        <w:t>((</w:t>
      </w:r>
      <w:r>
        <w:rPr>
          <w:strike/>
        </w:rPr>
        <w:t xml:space="preserve">the maximum capacity of</w:t>
      </w:r>
      <w:r>
        <w:t>))</w:t>
      </w:r>
      <w:r>
        <w:rPr/>
        <w:t xml:space="preserve"> the tax in this section within one year of July 28, 2019.</w:t>
      </w:r>
    </w:p>
    <w:p>
      <w:pPr>
        <w:spacing w:before="0" w:after="0" w:line="408" w:lineRule="exact"/>
        <w:ind w:left="0" w:right="0" w:firstLine="576"/>
        <w:jc w:val="left"/>
      </w:pPr>
      <w:r>
        <w:rPr/>
        <w:t xml:space="preserve">(ii) Adoption of the resolution of intent and legislation </w:t>
      </w:r>
      <w:r>
        <w:rPr>
          <w:u w:val="single"/>
        </w:rPr>
        <w:t xml:space="preserve">to authorize the tax</w:t>
      </w:r>
      <w:r>
        <w:rPr/>
        <w:t xml:space="preserve"> requires simple majority approval of the enacting legislative authority.</w:t>
      </w:r>
    </w:p>
    <w:p>
      <w:pPr>
        <w:spacing w:before="0" w:after="0" w:line="408" w:lineRule="exact"/>
        <w:ind w:left="0" w:right="0" w:firstLine="576"/>
        <w:jc w:val="left"/>
      </w:pPr>
      <w:r>
        <w:rPr/>
        <w:t xml:space="preserve">(iii) </w:t>
      </w:r>
      <w:r>
        <w:t>((</w:t>
      </w:r>
      <w:r>
        <w:rPr>
          <w:strike/>
        </w:rPr>
        <w:t xml:space="preserve">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strike/>
        </w:rPr>
        <w:t xml:space="preserve">(3)</w:t>
      </w:r>
      <w:r>
        <w:t>))</w:t>
      </w:r>
      <w:r>
        <w:rPr/>
        <w:t xml:space="preserve"> </w:t>
      </w:r>
      <w:r>
        <w:rPr>
          <w:u w:val="single"/>
        </w:rPr>
        <w:t xml:space="preserve">If a county or city does not provide the department with copies of the adopted resolution of intent and copies of the legislation to authorize the qualifying local tax in this section by January 15, 2021, the county or city may not authorize, fix, or impose the tax.</w:t>
      </w:r>
    </w:p>
    <w:p>
      <w:pPr>
        <w:spacing w:before="0" w:after="0" w:line="408" w:lineRule="exact"/>
        <w:ind w:left="0" w:right="0" w:firstLine="576"/>
        <w:jc w:val="left"/>
      </w:pPr>
      <w:r>
        <w:rPr>
          <w:u w:val="single"/>
        </w:rPr>
        <w:t xml:space="preserve">(4)</w:t>
      </w:r>
      <w:r>
        <w:rPr/>
        <w:t xml:space="preserve">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t>((</w:t>
      </w:r>
      <w:r>
        <w:rPr>
          <w:strike/>
        </w:rPr>
        <w:t xml:space="preserve">(4) By December 31, 2019, or within thirty days of</w:t>
      </w:r>
      <w:r>
        <w:t>))</w:t>
      </w:r>
      <w:r>
        <w:rPr/>
        <w:t xml:space="preserve"> </w:t>
      </w:r>
      <w:r>
        <w:rPr>
          <w:u w:val="single"/>
        </w:rPr>
        <w:t xml:space="preserve">(5) By October 1, 2020, for</w:t>
      </w:r>
      <w:r>
        <w:rPr/>
        <w:t xml:space="preserve"> a county or city authorizing the tax under this section, </w:t>
      </w:r>
      <w:r>
        <w:t>((</w:t>
      </w:r>
      <w:r>
        <w:rPr>
          <w:strike/>
        </w:rPr>
        <w:t xml:space="preserve">whichever is later,</w:t>
      </w:r>
      <w:r>
        <w:t>))</w:t>
      </w:r>
      <w:r>
        <w:rPr/>
        <w:t xml:space="preserve"> the department must calculate </w:t>
      </w:r>
      <w:r>
        <w:t>((</w:t>
      </w:r>
      <w:r>
        <w:rPr>
          <w:strike/>
        </w:rPr>
        <w:t xml:space="preserve">the</w:t>
      </w:r>
      <w:r>
        <w:t>))</w:t>
      </w:r>
      <w:r>
        <w:rPr/>
        <w:t xml:space="preserve"> </w:t>
      </w:r>
      <w:r>
        <w:rPr>
          <w:u w:val="single"/>
        </w:rPr>
        <w:t xml:space="preserve">a preliminary annual</w:t>
      </w:r>
      <w:r>
        <w:rPr/>
        <w:t xml:space="preserve"> maximum amount of tax distributions for each county and city authorizing the tax under this section as follows:</w:t>
      </w:r>
    </w:p>
    <w:p>
      <w:pPr>
        <w:spacing w:before="0" w:after="0" w:line="408" w:lineRule="exact"/>
        <w:ind w:left="0" w:right="0" w:firstLine="576"/>
        <w:jc w:val="left"/>
      </w:pPr>
      <w:r>
        <w:rPr/>
        <w:t xml:space="preserve">(a) The </w:t>
      </w:r>
      <w:r>
        <w:rPr>
          <w:u w:val="single"/>
        </w:rPr>
        <w:t xml:space="preserve">annual</w:t>
      </w:r>
      <w:r>
        <w:rPr/>
        <w:t xml:space="preserve"> maximum amount for a participating county equals the taxable retail sales within the </w:t>
      </w:r>
      <w:r>
        <w:rPr>
          <w:u w:val="single"/>
        </w:rPr>
        <w:t xml:space="preserve">unincorporated area of a</w:t>
      </w:r>
      <w:r>
        <w:rPr/>
        <w:t xml:space="preserve"> county</w:t>
      </w:r>
      <w:r>
        <w:rPr>
          <w:u w:val="single"/>
        </w:rPr>
        <w:t xml:space="preserve">, within the nonparticipating cities, and within the participating cities without a qualifying local tax,</w:t>
      </w:r>
      <w:r>
        <w:rPr/>
        <w:t xml:space="preserve"> in state fiscal year 2019 multiplied by the tax rate imposed under this section</w:t>
      </w:r>
      <w:r>
        <w:t>((</w:t>
      </w:r>
      <w:r>
        <w:rPr>
          <w:strike/>
        </w:rPr>
        <w:t xml:space="preserve">.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w:t>
      </w:r>
      <w:r>
        <w:t>))</w:t>
      </w:r>
      <w:r>
        <w:rPr/>
        <w:t xml:space="preserve">; and</w:t>
      </w:r>
    </w:p>
    <w:p>
      <w:pPr>
        <w:spacing w:before="0" w:after="0" w:line="408" w:lineRule="exact"/>
        <w:ind w:left="0" w:right="0" w:firstLine="576"/>
        <w:jc w:val="left"/>
      </w:pPr>
      <w:r>
        <w:rPr/>
        <w:t xml:space="preserve">(b) The </w:t>
      </w:r>
      <w:r>
        <w:rPr>
          <w:u w:val="single"/>
        </w:rPr>
        <w:t xml:space="preserve">annual</w:t>
      </w:r>
      <w:r>
        <w:rPr/>
        <w:t xml:space="preserve"> maximum amount for a </w:t>
      </w:r>
      <w:r>
        <w:rPr>
          <w:u w:val="single"/>
        </w:rPr>
        <w:t xml:space="preserve">participating</w:t>
      </w:r>
      <w:r>
        <w:rPr/>
        <w:t xml:space="preserve"> city equals the taxable retail sales within the city in state fiscal year 2019 multiplied by the tax rate imposed under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 By June 30, 2022, the department must calculate a final annual maximum amount of tax distributions for each county and city authorizing the tax under this section using the method in subsection (5)(a) and (b) of this section.</w:t>
      </w:r>
    </w:p>
    <w:p>
      <w:pPr>
        <w:spacing w:before="0" w:after="0" w:line="408" w:lineRule="exact"/>
        <w:ind w:left="0" w:right="0" w:firstLine="576"/>
        <w:jc w:val="left"/>
      </w:pPr>
      <w:r>
        <w:rPr>
          <w:u w:val="single"/>
        </w:rPr>
        <w:t xml:space="preserve">(7)(a)</w:t>
      </w:r>
      <w:r>
        <w:rPr/>
        <w:t xml:space="preserve"> The tax must cease to be distributed to a county or city for the remainder of any fiscal year in which the amount of tax exceeds</w:t>
      </w:r>
      <w:r>
        <w:rPr>
          <w:u w:val="single"/>
        </w:rPr>
        <w:t xml:space="preserve">:</w:t>
      </w:r>
    </w:p>
    <w:p>
      <w:pPr>
        <w:spacing w:before="0" w:after="0" w:line="408" w:lineRule="exact"/>
        <w:ind w:left="0" w:right="0" w:firstLine="576"/>
        <w:jc w:val="left"/>
      </w:pPr>
      <w:r>
        <w:rPr>
          <w:u w:val="single"/>
        </w:rPr>
        <w:t xml:space="preserve">(i) Until June 29, 2022,</w:t>
      </w:r>
      <w:r>
        <w:rPr/>
        <w:t xml:space="preserve"> the </w:t>
      </w:r>
      <w:r>
        <w:rPr>
          <w:u w:val="single"/>
        </w:rPr>
        <w:t xml:space="preserve">preliminary annual</w:t>
      </w:r>
      <w:r>
        <w:rPr/>
        <w:t xml:space="preserve"> maximum amount </w:t>
      </w:r>
      <w:r>
        <w:rPr>
          <w:u w:val="single"/>
        </w:rPr>
        <w:t xml:space="preserve">calculated</w:t>
      </w:r>
      <w:r>
        <w:rPr/>
        <w:t xml:space="preserve"> in subsection </w:t>
      </w:r>
      <w:r>
        <w:t>((</w:t>
      </w:r>
      <w:r>
        <w:rPr>
          <w:strike/>
        </w:rPr>
        <w:t xml:space="preserve">(4)</w:t>
      </w:r>
      <w:r>
        <w:t>))</w:t>
      </w:r>
      <w:r>
        <w:rPr/>
        <w:t xml:space="preserve"> </w:t>
      </w:r>
      <w:r>
        <w:rPr>
          <w:u w:val="single"/>
        </w:rPr>
        <w:t xml:space="preserve">(5)</w:t>
      </w:r>
      <w:r>
        <w:rPr/>
        <w:t xml:space="preserve"> of this section</w:t>
      </w:r>
      <w:r>
        <w:rPr>
          <w:u w:val="single"/>
        </w:rPr>
        <w:t xml:space="preserve">; and</w:t>
      </w:r>
    </w:p>
    <w:p>
      <w:pPr>
        <w:spacing w:before="0" w:after="0" w:line="408" w:lineRule="exact"/>
        <w:ind w:left="0" w:right="0" w:firstLine="576"/>
        <w:jc w:val="left"/>
      </w:pPr>
      <w:r>
        <w:rPr>
          <w:u w:val="single"/>
        </w:rPr>
        <w:t xml:space="preserve">(ii) Beginning June 30, 2022, the final annual maximum amount calculated in subsection (6) of this section</w:t>
      </w:r>
      <w:r>
        <w:rPr/>
        <w:t xml:space="preserve">. </w:t>
      </w:r>
    </w:p>
    <w:p>
      <w:pPr>
        <w:spacing w:before="0" w:after="0" w:line="408" w:lineRule="exact"/>
        <w:ind w:left="0" w:right="0" w:firstLine="576"/>
        <w:jc w:val="left"/>
      </w:pPr>
      <w:r>
        <w:rPr>
          <w:u w:val="single"/>
        </w:rPr>
        <w:t xml:space="preserve">(b)</w:t>
      </w:r>
      <w:r>
        <w:rPr/>
        <w:t xml:space="preserve"> The department must remit any annual tax revenues above the </w:t>
      </w:r>
      <w:r>
        <w:rPr>
          <w:u w:val="single"/>
        </w:rPr>
        <w:t xml:space="preserve">annual</w:t>
      </w:r>
      <w:r>
        <w:rPr/>
        <w:t xml:space="preserve"> maximum to the state treasurer for deposit in the general fund. Distributions to a county or city meeting the </w:t>
      </w:r>
      <w:r>
        <w:rPr>
          <w:u w:val="single"/>
        </w:rPr>
        <w:t xml:space="preserve">annual</w:t>
      </w:r>
      <w:r>
        <w:rPr/>
        <w:t xml:space="preserve"> maximum amount must resume at the beginning of the next fiscal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If</w:t>
      </w:r>
      <w:r>
        <w:rPr>
          <w:u w:val="single"/>
        </w:rPr>
        <w:t xml:space="preserve">, when the tax is first imposed,</w:t>
      </w:r>
      <w:r>
        <w:rPr/>
        <w:t xml:space="preserve"> a county has a population greater than four hundred thousand or a city has a population greater than one hundred thousand,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or</w:t>
      </w:r>
    </w:p>
    <w:p>
      <w:pPr>
        <w:spacing w:before="0" w:after="0" w:line="408" w:lineRule="exact"/>
        <w:ind w:left="0" w:right="0" w:firstLine="576"/>
        <w:jc w:val="left"/>
      </w:pPr>
      <w:r>
        <w:rPr/>
        <w:t xml:space="preserve">(ii) Funding the operations and maintenance costs </w:t>
      </w:r>
      <w:r>
        <w:t>((</w:t>
      </w:r>
      <w:r>
        <w:rPr>
          <w:strike/>
        </w:rPr>
        <w:t xml:space="preserve">of new units</w:t>
      </w:r>
      <w:r>
        <w:t>))</w:t>
      </w:r>
      <w:r>
        <w:rPr/>
        <w:t xml:space="preserve"> of affordable or supportive housing </w:t>
      </w:r>
      <w:r>
        <w:rPr>
          <w:u w:val="single"/>
        </w:rPr>
        <w:t xml:space="preserve">including, but not limited to, staffing necessary for daily operations of permanent supportive housing. Operations and maintenance costs under this section may not be funded with bonds</w:t>
      </w:r>
      <w:r>
        <w:rPr/>
        <w:t xml:space="preserve">.</w:t>
      </w:r>
    </w:p>
    <w:p>
      <w:pPr>
        <w:spacing w:before="0" w:after="0" w:line="408" w:lineRule="exact"/>
        <w:ind w:left="0" w:right="0" w:firstLine="576"/>
        <w:jc w:val="left"/>
      </w:pPr>
      <w:r>
        <w:rPr/>
        <w:t xml:space="preserve">(b) If</w:t>
      </w:r>
      <w:r>
        <w:rPr>
          <w:u w:val="single"/>
        </w:rPr>
        <w:t xml:space="preserve">, when the tax is first imposed,</w:t>
      </w:r>
      <w:r>
        <w:rPr/>
        <w:t xml:space="preserve"> a county has a population of four hundred thousand or less or a city has a population of one hundred thousand or less, the moneys collected under this section may only be used for the purposes provided in (a) of this subsection or for providing rental assistance to tenants.</w:t>
      </w:r>
    </w:p>
    <w:p>
      <w:pPr>
        <w:spacing w:before="0" w:after="0" w:line="408" w:lineRule="exact"/>
        <w:ind w:left="0" w:right="0" w:firstLine="576"/>
        <w:jc w:val="left"/>
      </w:pPr>
      <w:r>
        <w:t>((</w:t>
      </w:r>
      <w:r>
        <w:rPr>
          <w:strike/>
        </w:rPr>
        <w:t xml:space="preserve">(7)</w:t>
      </w:r>
      <w:r>
        <w:t>))</w:t>
      </w:r>
      <w:r>
        <w:rPr/>
        <w:t xml:space="preserve"> </w:t>
      </w:r>
      <w:r>
        <w:rPr>
          <w:u w:val="single"/>
        </w:rPr>
        <w:t xml:space="preserve">(c) Administrative costs of the county or city associated with administering this section may not exceed six percent of the annual tax distributed to the jurisdiction under this section.</w:t>
      </w:r>
    </w:p>
    <w:p>
      <w:pPr>
        <w:spacing w:before="0" w:after="0" w:line="408" w:lineRule="exact"/>
        <w:ind w:left="0" w:right="0" w:firstLine="576"/>
        <w:jc w:val="left"/>
      </w:pPr>
      <w:r>
        <w:rPr>
          <w:u w:val="single"/>
        </w:rPr>
        <w:t xml:space="preserve">(9)</w:t>
      </w:r>
      <w:r>
        <w:rPr/>
        <w:t xml:space="preserve"> The housing and services provided pursuant to subsection </w:t>
      </w:r>
      <w:r>
        <w:t>((</w:t>
      </w:r>
      <w:r>
        <w:rPr>
          <w:strike/>
        </w:rPr>
        <w:t xml:space="preserve">(6)</w:t>
      </w:r>
      <w:r>
        <w:t>))</w:t>
      </w:r>
      <w:r>
        <w:rPr/>
        <w:t xml:space="preserve"> </w:t>
      </w:r>
      <w:r>
        <w:rPr>
          <w:u w:val="single"/>
        </w:rPr>
        <w:t xml:space="preserve">(8)</w:t>
      </w:r>
      <w:r>
        <w:rPr/>
        <w:t xml:space="preserve"> of this section may only be provided to persons whose income</w:t>
      </w:r>
      <w:r>
        <w:rPr>
          <w:u w:val="single"/>
        </w:rPr>
        <w:t xml:space="preserve">, at each required income certification or recertification,</w:t>
      </w:r>
      <w:r>
        <w:rPr/>
        <w:t xml:space="preserve"> is at or below sixty percent of the median </w:t>
      </w:r>
      <w:r>
        <w:rPr>
          <w:u w:val="single"/>
        </w:rPr>
        <w:t xml:space="preserve">household</w:t>
      </w:r>
      <w:r>
        <w:rPr/>
        <w:t xml:space="preserve"> income of the </w:t>
      </w:r>
      <w:r>
        <w:t>((</w:t>
      </w:r>
      <w:r>
        <w:rPr>
          <w:strike/>
        </w:rPr>
        <w:t xml:space="preserve">county or city</w:t>
      </w:r>
      <w:r>
        <w:t>))</w:t>
      </w:r>
      <w:r>
        <w:rPr/>
        <w:t xml:space="preserve"> </w:t>
      </w:r>
      <w:r>
        <w:rPr>
          <w:u w:val="single"/>
        </w:rPr>
        <w:t xml:space="preserve">standard metropolitan statistical area within which the county, city, or town</w:t>
      </w:r>
      <w:r>
        <w:rPr/>
        <w:t xml:space="preserve"> imposing the tax </w:t>
      </w:r>
      <w:r>
        <w:rPr>
          <w:u w:val="single"/>
        </w:rPr>
        <w:t xml:space="preserve">is located</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In determining the use of funds under subsection </w:t>
      </w:r>
      <w:r>
        <w:t>((</w:t>
      </w:r>
      <w:r>
        <w:rPr>
          <w:strike/>
        </w:rPr>
        <w:t xml:space="preserve">(6)</w:t>
      </w:r>
      <w:r>
        <w:t>))</w:t>
      </w:r>
      <w:r>
        <w:rPr/>
        <w:t xml:space="preserve"> </w:t>
      </w:r>
      <w:r>
        <w:rPr>
          <w:u w:val="single"/>
        </w:rPr>
        <w:t xml:space="preserve">(8)</w:t>
      </w:r>
      <w:r>
        <w:rPr/>
        <w:t xml:space="preserve">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t>((</w:t>
      </w:r>
      <w:r>
        <w:rPr>
          <w:strike/>
        </w:rPr>
        <w:t xml:space="preserve">(9)</w:t>
      </w:r>
      <w:r>
        <w:t>))</w:t>
      </w:r>
      <w:r>
        <w:rPr/>
        <w:t xml:space="preserve"> </w:t>
      </w:r>
      <w:r>
        <w:rPr>
          <w:u w:val="single"/>
        </w:rPr>
        <w:t xml:space="preserve">(11)(a)</w:t>
      </w:r>
      <w:r>
        <w:rPr/>
        <w:t xml:space="preserve">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t>((</w:t>
      </w:r>
      <w:r>
        <w:rPr>
          <w:strike/>
        </w:rPr>
        <w:t xml:space="preserve">(10) A</w:t>
      </w:r>
      <w:r>
        <w:t>))</w:t>
      </w:r>
      <w:r>
        <w:rPr/>
        <w:t xml:space="preserve"> </w:t>
      </w:r>
      <w:r>
        <w:rPr>
          <w:u w:val="single"/>
        </w:rPr>
        <w:t xml:space="preserve">(b) A county may not pledge for repayment of such bonds any moneys collected from retail sales within the limits of a city:</w:t>
      </w:r>
    </w:p>
    <w:p>
      <w:pPr>
        <w:spacing w:before="0" w:after="0" w:line="408" w:lineRule="exact"/>
        <w:ind w:left="0" w:right="0" w:firstLine="576"/>
        <w:jc w:val="left"/>
      </w:pPr>
      <w:r>
        <w:rPr>
          <w:u w:val="single"/>
        </w:rPr>
        <w:t xml:space="preserve">(i) Before July 28, 2020; or</w:t>
      </w:r>
    </w:p>
    <w:p>
      <w:pPr>
        <w:spacing w:before="0" w:after="0" w:line="408" w:lineRule="exact"/>
        <w:ind w:left="0" w:right="0" w:firstLine="576"/>
        <w:jc w:val="left"/>
      </w:pPr>
      <w:r>
        <w:rPr>
          <w:u w:val="single"/>
        </w:rPr>
        <w:t xml:space="preserve">(ii) If the city has adopted a notice of intent under subsection (2) of this section.</w:t>
      </w:r>
    </w:p>
    <w:p>
      <w:pPr>
        <w:spacing w:before="0" w:after="0" w:line="408" w:lineRule="exact"/>
        <w:ind w:left="0" w:right="0" w:firstLine="576"/>
        <w:jc w:val="left"/>
      </w:pPr>
      <w:r>
        <w:rPr>
          <w:u w:val="single"/>
        </w:rPr>
        <w:t xml:space="preserve">(12) To carry out the purposes of this section, a</w:t>
      </w:r>
      <w:r>
        <w:rPr/>
        <w:t xml:space="preserve"> county or city may enter into an interlocal agreement </w:t>
      </w:r>
      <w:r>
        <w:rPr>
          <w:u w:val="single"/>
        </w:rPr>
        <w:t xml:space="preserve">in accordance with chapter 39.34 RCW</w:t>
      </w:r>
      <w:r>
        <w:rPr/>
        <w:t xml:space="preserve"> with one or more </w:t>
      </w:r>
      <w:r>
        <w:t>((</w:t>
      </w:r>
      <w:r>
        <w:rPr>
          <w:strike/>
        </w:rPr>
        <w:t xml:space="preserve">counties, cities, or public housing authorities in accordance with chapter 39.34 RCW</w:t>
      </w:r>
      <w:r>
        <w:t>))</w:t>
      </w:r>
      <w:r>
        <w:rPr/>
        <w:t xml:space="preserve"> </w:t>
      </w:r>
      <w:r>
        <w:rPr>
          <w:u w:val="single"/>
        </w:rPr>
        <w:t xml:space="preserve">public entities or nonprofit organizations</w:t>
      </w:r>
      <w:r>
        <w:rPr/>
        <w:t xml:space="preserve">. The </w:t>
      </w:r>
      <w:r>
        <w:rPr>
          <w:u w:val="single"/>
        </w:rPr>
        <w:t xml:space="preserve">contract or interlocal</w:t>
      </w:r>
      <w:r>
        <w:rPr/>
        <w:t xml:space="preserve"> agreement may include, but is not limited to, pooling the tax receipts received under this section, pledging those taxes to bonds issued by one or more parties to the agreement, and allocating the proceeds of the taxes levied or the bonds issued in accordance with such </w:t>
      </w:r>
      <w:r>
        <w:rPr>
          <w:u w:val="single"/>
        </w:rPr>
        <w:t xml:space="preserve">contract or</w:t>
      </w:r>
      <w:r>
        <w:rPr/>
        <w:t xml:space="preserve"> interlocal agreement and this section. </w:t>
      </w:r>
      <w:r>
        <w:rPr>
          <w:u w:val="single"/>
        </w:rPr>
        <w:t xml:space="preserve">The contract or interlocal agreement must include a requirement that the housing or services provided with moneys collected under this section comply with the use restrictions in subsection (8) of this section and the income restrictions in subsection (9)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33fefcd8b55b4f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b8d88dbe5144ec" /><Relationship Type="http://schemas.openxmlformats.org/officeDocument/2006/relationships/footer" Target="/word/footer1.xml" Id="R33fefcd8b55b4f4a" /></Relationships>
</file>