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441f6b3334618" /></Relationships>
</file>

<file path=word/document.xml><?xml version="1.0" encoding="utf-8"?>
<w:document xmlns:w="http://schemas.openxmlformats.org/wordprocessingml/2006/main">
  <w:body>
    <w:p>
      <w:r>
        <w:t>S-5085.1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6598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Fortunato, Padden, and Short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transparency in reproductive health; amending RCW 9.02.100;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transparency in reproductive health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02</w:t>
      </w:r>
      <w:r>
        <w:rPr/>
        <w:t xml:space="preserve">.</w:t>
      </w:r>
      <w:r>
        <w:t xml:space="preserve">100</w:t>
      </w:r>
      <w:r>
        <w:rPr/>
        <w:t xml:space="preserve"> and 1992 c 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sovereign people hereby declare that every individual possesses a fundamental right of privacy with respect to personal reproductive decisions.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Accordingly, it is the public policy of the state of Washington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Every individual has the fundamental right to choose or refuse birth control;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Every woman has the fundamental right to choose or refuse to have an abortion, except as specifically limited by RCW 9.02.100 through 9.02.170 and 9.02.900 through 9.02.902;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Except as specifically permitted by RCW 9.02.100 through 9.02.170 and 9.02.900 through 9.02.902, the state shall not deny or interfere with a woman's fundamental right to choose or refuse to have an abortion;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</w:t>
      </w:r>
      <w:r>
        <w:rPr>
          <w:u w:val="single"/>
        </w:rPr>
        <w:t xml:space="preserve">A woman seeking to have an abortion in the state of Washington has a right to be fully informed about abortions and the potential risks associated with abortions. This includes the right to know about: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Abortion methods and associated medical risks;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Possible adverse psychological effects of abortion;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Potential harms to the fetus child should the abortion go wrong;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Medical benefits and risks of carrying a pregnancy to term;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Probable gestational age of the fetus at the time the abortion is to be performed;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(f) Public and private agencies and services available to assist a woman through pregnancy, childbirth, and raising a child;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(g) Adoption services;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</w:t>
      </w:r>
      <w:r>
        <w:rPr/>
        <w:t xml:space="preserve"> The state shall not discriminate against the exercise of these rights in the regulation or provision of benefits, facilities, services, or information.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8edd653685e447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6598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5b08fc6d44dfc" /><Relationship Type="http://schemas.openxmlformats.org/officeDocument/2006/relationships/footer" Target="/word/footer1.xml" Id="R28edd653685e447d" /></Relationships>
</file>