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52070da32a49b0" /></Relationships>
</file>

<file path=word/document.xml><?xml version="1.0" encoding="utf-8"?>
<w:document xmlns:w="http://schemas.openxmlformats.org/wordprocessingml/2006/main">
  <w:body>
    <w:p>
      <w:r>
        <w:t>S-4890.1</w:t>
      </w:r>
    </w:p>
    <w:p>
      <w:pPr>
        <w:jc w:val="center"/>
      </w:pPr>
      <w:r>
        <w:t>_______________________________________________</w:t>
      </w:r>
    </w:p>
    <w:p/>
    <w:p>
      <w:pPr>
        <w:jc w:val="center"/>
      </w:pPr>
      <w:r>
        <w:rPr>
          <w:b/>
        </w:rPr>
        <w:t>SENATE BILL 6585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Zeiger, Walsh, Darneille, O'Ban, Conway, Nguyen, and Wilson, C.</w:t>
      </w:r>
    </w:p>
    <w:p/>
    <w:p>
      <w:r>
        <w:rPr>
          <w:t xml:space="preserve">Read first time 01/23/20.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use of medication-assisted treatment within jails; and reenacting and amending RCW 71.24.580.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2019 c 415 s 980, 2019 c 325 s 1040, and 2019 c 314 s 27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During the 2019-2021 fiscal biennium, the legislature may direct the state treasurer to make transfers of moneys in the criminal justice treatment account to the home security fund account created in RCW 43.185C.060. It is the intent of the legislature to continue the policy of transferring moneys from the criminal justice treatment account to the home security fund account in subsequent biennia.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submitted plan should incorporate current evidence-based practices in substance use disorder treatment. The funds shall be used solely to provide approved alcohol and substance use disorder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t xml:space="preserve">(10) </w:t>
      </w:r>
      <w:r>
        <w:rPr>
          <w:u w:val="single"/>
        </w:rPr>
        <w:t xml:space="preserve">For a county or region to be eligible to receive criminal justice treatment account funds under this section, all county jails within the county or region must allow the use of all medications approved by the federal food and drug administration for the treatment of opioid use disorders as deemed appropriate by a medical professional during the custody period, and allow for such treatment to be initiated during the custody period for jail inmates when medically appropriate for the treatment of an opioid use disorder.</w:t>
      </w:r>
    </w:p>
    <w:p>
      <w:pPr>
        <w:spacing w:before="0" w:after="0" w:line="408" w:lineRule="exact"/>
        <w:ind w:left="0" w:right="0" w:firstLine="576"/>
        <w:jc w:val="left"/>
      </w:pPr>
      <w:r>
        <w:rPr>
          <w:u w:val="single"/>
        </w:rPr>
        <w:t xml:space="preserve">(11)</w:t>
      </w:r>
      <w:r>
        <w:rPr/>
        <w:t xml:space="preserve"> Counties must meet the criteria established in RCW 2.30.030(3).</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
      <w:pPr>
        <w:jc w:val="center"/>
      </w:pPr>
      <w:r>
        <w:rPr>
          <w:b/>
        </w:rPr>
        <w:t>--- END ---</w:t>
      </w:r>
    </w:p>
    <w:sectPr>
      <w:pgNumType w:start="1"/>
      <w:footerReference xmlns:r="http://schemas.openxmlformats.org/officeDocument/2006/relationships" r:id="R5294a3c394e84e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4cd51352104810" /><Relationship Type="http://schemas.openxmlformats.org/officeDocument/2006/relationships/footer" Target="/word/footer1.xml" Id="R5294a3c394e84ef0" /></Relationships>
</file>