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b1ff68abe4405" /></Relationships>
</file>

<file path=word/document.xml><?xml version="1.0" encoding="utf-8"?>
<w:document xmlns:w="http://schemas.openxmlformats.org/wordprocessingml/2006/main">
  <w:body>
    <w:p>
      <w:r>
        <w:t>S-6058.2</w:t>
      </w:r>
    </w:p>
    <w:p>
      <w:pPr>
        <w:jc w:val="center"/>
      </w:pPr>
      <w:r>
        <w:t>_______________________________________________</w:t>
      </w:r>
    </w:p>
    <w:p/>
    <w:p>
      <w:pPr>
        <w:jc w:val="center"/>
      </w:pPr>
      <w:r>
        <w:rPr>
          <w:b/>
        </w:rPr>
        <w:t>SUBSTITUTE SENATE BILL 6531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Braun, Takko, and Schoesler)</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performance of personal services by a craft distillery, distiller, or spirits certificate of approval holder;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2019 c 149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w:t>
      </w:r>
    </w:p>
    <w:p>
      <w:pPr>
        <w:spacing w:before="0" w:after="0" w:line="408" w:lineRule="exact"/>
        <w:ind w:left="0" w:right="0" w:firstLine="576"/>
        <w:jc w:val="left"/>
      </w:pPr>
      <w:r>
        <w:rPr/>
        <w:t xml:space="preserve">(c) Manufacturers, distributors, or their licensed representatives from using web sites or social media accounts in their name to post, repost, or share promotional information or images about events featuring a product of the manufacturer's own production or a product sold by the distributor, held at an on-premises licensed liquor retailer's location or a licensed special occasion event. The promotional information may include links to purchase event tickets. Manufacturers, distributors, or their licensed representatives may not pay a third party to enhance viewership of a specific post. Industry members, or their licensed representatives, are not obligated to post, repost, or share information or images on a web site or on social media. A licensed liquor retailer may not require an industry member or their licensed representative to post, repost, or share information or images on a web site or on social media as a condition for selling any alcohol to the retailer or participating in a retailer's event; or</w:t>
      </w:r>
    </w:p>
    <w:p>
      <w:pPr>
        <w:spacing w:before="0" w:after="0" w:line="408" w:lineRule="exact"/>
        <w:ind w:left="0" w:right="0" w:firstLine="576"/>
        <w:jc w:val="left"/>
      </w:pPr>
      <w:r>
        <w:rPr/>
        <w:t xml:space="preserve">(d)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w:t>
      </w:r>
      <w:r>
        <w:rPr>
          <w:u w:val="single"/>
        </w:rPr>
        <w:t xml:space="preserve">Nothing in RCW 66.28.305 prohibits the performance of personal services offered from time to time by a craft distillery, distiller, or spirits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restaurant holding a spirits, beer, and wine license, a special occasion license, or a private club license. A craft distillery, distiller, or spirits certificate of approval holder is not obligated to perform any such personal services, and a retail licensee may not require a craft distillery, distiller, or spirits certificate of approval holder to conduct any personal service as a condition for selling any alcohol to the retail licensee, or as a condition for including any product of the craft distillery, distiller, or spirits certificate of approval holder in any tasting conducted by the licensee. The instruction of consumers may include the furnishing of not more than three tastings to any individual in one day. A single tasting of distilled spirits may not exceed one-half ounce.</w:t>
      </w:r>
    </w:p>
    <w:p>
      <w:pPr>
        <w:spacing w:before="0" w:after="0" w:line="408" w:lineRule="exact"/>
        <w:ind w:left="0" w:right="0" w:firstLine="576"/>
        <w:jc w:val="left"/>
      </w:pPr>
      <w:r>
        <w:rPr>
          <w:u w:val="single"/>
        </w:rPr>
        <w:t xml:space="preserve">(9)</w:t>
      </w:r>
      <w:r>
        <w:rPr/>
        <w:t xml:space="preserve"> Nothing in RCW 66.28.305 prohibits an arrangement between a domestic winery and a restaurant licensed under RCW 66.24.320 or 66.24.400 to waive a corkage fee.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
      <w:pPr>
        <w:jc w:val="center"/>
      </w:pPr>
      <w:r>
        <w:rPr>
          <w:b/>
        </w:rPr>
        <w:t>--- END ---</w:t>
      </w:r>
    </w:p>
    <w:sectPr>
      <w:pgNumType w:start="1"/>
      <w:footerReference xmlns:r="http://schemas.openxmlformats.org/officeDocument/2006/relationships" r:id="R029a59abc41e4a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4e54693af44d35" /><Relationship Type="http://schemas.openxmlformats.org/officeDocument/2006/relationships/footer" Target="/word/footer1.xml" Id="R029a59abc41e4a05" /></Relationships>
</file>