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02507e268147f0" /></Relationships>
</file>

<file path=word/document.xml><?xml version="1.0" encoding="utf-8"?>
<w:document xmlns:w="http://schemas.openxmlformats.org/wordprocessingml/2006/main">
  <w:body>
    <w:p>
      <w:r>
        <w:t>S-5345.3</w:t>
      </w:r>
    </w:p>
    <w:p>
      <w:pPr>
        <w:jc w:val="center"/>
      </w:pPr>
      <w:r>
        <w:t>_______________________________________________</w:t>
      </w:r>
    </w:p>
    <w:p/>
    <w:p>
      <w:pPr>
        <w:jc w:val="center"/>
      </w:pPr>
      <w:r>
        <w:rPr>
          <w:b/>
        </w:rPr>
        <w:t>SENATE BILL 6492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Pedersen, Rolfes, and Wilson, C.</w:t>
      </w:r>
    </w:p>
    <w:p/>
    <w:p>
      <w:r>
        <w:rPr>
          <w:t xml:space="preserve">Read first time 01/20/20.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workforce education investment funding through business and occupation tax reform; amending RCW 28C.18.200, 43.79.195, 82.04.290, and 82.04.4451; reenacting and amending RCW 82.32.045; creating new sections; repealing RCW 82.04.299;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and 2019 c 406 s 3 are each amended to read as follows:</w:t>
      </w:r>
    </w:p>
    <w:p>
      <w:pPr>
        <w:spacing w:before="0" w:after="0" w:line="408" w:lineRule="exact"/>
        <w:ind w:left="0" w:right="0" w:firstLine="576"/>
        <w:jc w:val="left"/>
      </w:pPr>
      <w:r>
        <w:rPr/>
        <w:t xml:space="preserve">(1) The workforce education investment accountability and oversight board is established. The board consists of seventeen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w:t>
      </w:r>
      <w:r>
        <w:t>((</w:t>
      </w:r>
      <w:r>
        <w:rPr>
          <w:strike/>
        </w:rPr>
        <w:t xml:space="preserve">described in RCW 82.04.299</w:t>
      </w:r>
      <w:r>
        <w:t>))</w:t>
      </w:r>
      <w:r>
        <w:rPr/>
        <w:t xml:space="preserve"> </w:t>
      </w:r>
      <w:r>
        <w:rPr>
          <w:u w:val="single"/>
        </w:rPr>
        <w:t xml:space="preserve">that are subject to the tax rate under RCW 82.04.290(2)(a)(i)</w:t>
      </w:r>
      <w:r>
        <w:rPr/>
        <w:t xml:space="preserve">;</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and</w:t>
      </w:r>
    </w:p>
    <w:p>
      <w:pPr>
        <w:spacing w:before="0" w:after="0" w:line="408" w:lineRule="exact"/>
        <w:ind w:left="0" w:right="0" w:firstLine="576"/>
        <w:jc w:val="left"/>
      </w:pPr>
      <w:r>
        <w:rPr/>
        <w:t xml:space="preserve">(vi) One member representing the student achievement council, established under chapter 28B.77 RCW.</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w:t>
      </w:r>
      <w:r>
        <w:t>((</w:t>
      </w:r>
      <w:r>
        <w:rPr>
          <w:strike/>
        </w:rPr>
        <w:t xml:space="preserve">described in RCW 82.04.299</w:t>
      </w:r>
      <w:r>
        <w:t>))</w:t>
      </w:r>
      <w:r>
        <w:rPr/>
        <w:t xml:space="preserve"> </w:t>
      </w:r>
      <w:r>
        <w:rPr>
          <w:u w:val="single"/>
        </w:rPr>
        <w:t xml:space="preserve">that are subject to the tax rate under RCW 82.04.290(2)(a)(i)</w:t>
      </w:r>
      <w:r>
        <w:rPr/>
        <w:t xml:space="preserve">.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workforce training and education coordinating board established in </w:t>
      </w:r>
      <w:r>
        <w:rPr>
          <w:u w:val="single"/>
        </w:rPr>
        <w:t xml:space="preserve">this</w:t>
      </w:r>
      <w:r>
        <w:rPr/>
        <w:t xml:space="preserve"> chapter </w:t>
      </w:r>
      <w:r>
        <w:t>((</w:t>
      </w:r>
      <w:r>
        <w:rPr>
          <w:strike/>
        </w:rPr>
        <w:t xml:space="preserve">28C.18 RCW</w:t>
      </w:r>
      <w:r>
        <w:t>))</w:t>
      </w:r>
      <w:r>
        <w:rPr/>
        <w:t xml:space="preserve">.</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w:t>
      </w:r>
      <w:r>
        <w:rPr>
          <w:u w:val="single"/>
        </w:rPr>
        <w:t xml:space="preserve">this</w:t>
      </w:r>
      <w:r>
        <w:rPr/>
        <w:t xml:space="preserve"> chapter </w:t>
      </w:r>
      <w:r>
        <w:t>((</w:t>
      </w:r>
      <w:r>
        <w:rPr>
          <w:strike/>
        </w:rPr>
        <w:t xml:space="preserve">28C.18 RCW</w:t>
      </w:r>
      <w:r>
        <w:t>))</w:t>
      </w:r>
      <w:r>
        <w:rPr/>
        <w:t xml:space="preserve"> when reviewing and determining whether workforce education investments funded from the workforce education investment account are effectively increasing student success and career readiness.</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spacing w:before="0" w:after="0" w:line="408" w:lineRule="exact"/>
        <w:ind w:left="0" w:right="0" w:firstLine="576"/>
        <w:jc w:val="left"/>
      </w:pPr>
      <w:r>
        <w:rPr>
          <w:u w:val="single"/>
        </w:rPr>
        <w:t xml:space="preserve">(9) For the purposes of this section, "board" means the workforce education investment accountability and oversight board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2019 c 406 s 2 are each amended to read as follows:</w:t>
      </w:r>
    </w:p>
    <w:p>
      <w:pPr>
        <w:spacing w:before="0" w:after="0" w:line="408" w:lineRule="exact"/>
        <w:ind w:left="0" w:right="0" w:firstLine="576"/>
        <w:jc w:val="left"/>
      </w:pPr>
      <w:r>
        <w:rPr/>
        <w:t xml:space="preserve">(1) The workforce education investment account is created in the state treasury. All revenues </w:t>
      </w:r>
      <w:r>
        <w:t>((</w:t>
      </w:r>
      <w:r>
        <w:rPr>
          <w:strike/>
        </w:rPr>
        <w:t xml:space="preserve">from the workforce investment surcharges created in RCW 82.04.299</w:t>
      </w:r>
      <w:r>
        <w:t>))</w:t>
      </w:r>
      <w:r>
        <w:rPr/>
        <w:t xml:space="preserve"> </w:t>
      </w:r>
      <w:r>
        <w:rPr>
          <w:u w:val="single"/>
        </w:rPr>
        <w:t xml:space="preserve">as specified under RCW 82.04.290(2)(c)</w:t>
      </w:r>
      <w:r>
        <w:rPr/>
        <w:t xml:space="preserve"> must be deposited directly into the account. Moneys in the account may be spent only after appropriation. Expenditures from the account may be used only for higher education programs, higher education operations, higher education compensation, and state-funded student aid programs. For the 2019-2021 biennium, expenditures from the account may be used for kindergarten through twelfth grade if used for career connected learning as provided for in chapter 406, Laws of 2019.</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2019 c 426 s 2 are each amended to read as follows:</w:t>
      </w:r>
    </w:p>
    <w:p>
      <w:pPr>
        <w:spacing w:before="0" w:after="0" w:line="408" w:lineRule="exact"/>
        <w:ind w:left="0" w:right="0" w:firstLine="576"/>
        <w:jc w:val="left"/>
      </w:pPr>
      <w:r>
        <w:rPr/>
        <w:t xml:space="preserve">(1) Upon every person engaging within this state in the business of providing qualifying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another section in this chapter or subsection (1) or (3) of this section; as to such persons the amount of tax on account of such activities is equal to the gross income of the business multiplied by the rate of</w:t>
      </w:r>
      <w:r>
        <w:rPr>
          <w:u w:val="single"/>
        </w:rPr>
        <w:t xml:space="preserve">:</w:t>
      </w:r>
    </w:p>
    <w:p>
      <w:pPr>
        <w:spacing w:before="0" w:after="0" w:line="408" w:lineRule="exact"/>
        <w:ind w:left="0" w:right="0" w:firstLine="576"/>
        <w:jc w:val="left"/>
      </w:pPr>
      <w:r>
        <w:rPr>
          <w:u w:val="single"/>
        </w:rPr>
        <w:t xml:space="preserve">(i) 1.8 percent; or</w:t>
      </w:r>
    </w:p>
    <w:p>
      <w:pPr>
        <w:spacing w:before="0" w:after="0" w:line="408" w:lineRule="exact"/>
        <w:ind w:left="0" w:right="0" w:firstLine="576"/>
        <w:jc w:val="left"/>
      </w:pPr>
      <w:r>
        <w:rPr>
          <w:u w:val="single"/>
        </w:rPr>
        <w:t xml:space="preserve">(ii)</w:t>
      </w:r>
      <w:r>
        <w:rPr/>
        <w:t xml:space="preserve"> 1.5 percent </w:t>
      </w:r>
      <w:r>
        <w:rPr>
          <w:u w:val="single"/>
        </w:rPr>
        <w:t xml:space="preserve">for:</w:t>
      </w:r>
    </w:p>
    <w:p>
      <w:pPr>
        <w:spacing w:before="0" w:after="0" w:line="408" w:lineRule="exact"/>
        <w:ind w:left="0" w:right="0" w:firstLine="576"/>
        <w:jc w:val="left"/>
      </w:pPr>
      <w:r>
        <w:rPr>
          <w:u w:val="single"/>
        </w:rPr>
        <w:t xml:space="preserve">(A) Any person whose gross income of the business subject to the tax imposed under this subsection (2), for the immediately preceding calendar year, was less than one million dollars, unless (I) the person is affiliated with one or more other persons, and (II) the aggregate gross income of the business subject to the tax imposed under this subsection (2) for all affiliated persons was greater than or equal to one million dollars for the immediately preceding calendar year; and</w:t>
      </w:r>
    </w:p>
    <w:p>
      <w:pPr>
        <w:spacing w:before="0" w:after="0" w:line="408" w:lineRule="exact"/>
        <w:ind w:left="0" w:right="0" w:firstLine="576"/>
        <w:jc w:val="left"/>
      </w:pPr>
      <w:r>
        <w:rPr>
          <w:u w:val="single"/>
        </w:rPr>
        <w:t xml:space="preserve">(B) Hospitals as defined in RCW 70.41.020, including any hospital that comes within the scope of chapter 71.12 RCW if the hospital is also licensed under chapter 70.41 RCW. This subsection (2)(a)(ii)(B) must not be construed as modifying RCW 82.04.260(10)</w:t>
      </w:r>
      <w:r>
        <w:rPr/>
        <w:t xml:space="preserve">.</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u w:val="single"/>
        </w:rPr>
        <w:t xml:space="preserve">(c) Sixteen and seven-tenths percent of the revenues collected under (a)(i) of this subsection (2) must be deposited into the workforce education investment account created in RCW 43.79.195.</w:t>
      </w:r>
    </w:p>
    <w:p>
      <w:pPr>
        <w:spacing w:before="0" w:after="0" w:line="408" w:lineRule="exact"/>
        <w:ind w:left="0" w:right="0" w:firstLine="576"/>
        <w:jc w:val="left"/>
      </w:pPr>
      <w:r>
        <w:rPr>
          <w:u w:val="single"/>
        </w:rPr>
        <w:t xml:space="preserve">(d)(i) To aid in the effective administration of this subsection (2), the department may require a person claiming to be subject to the 1.5 percent tax rate under (a)(ii) of this subsection (2) to identify all of the person's affiliates, including their department tax registration number or unified business identifier number, as may be applicable, or to certify that the person is not affiliated with any other person. Requests under this subsection (2)(d)(i) must be in writing and may be made electronically.</w:t>
      </w:r>
    </w:p>
    <w:p>
      <w:pPr>
        <w:spacing w:before="0" w:after="0" w:line="408" w:lineRule="exact"/>
        <w:ind w:left="0" w:right="0" w:firstLine="576"/>
        <w:jc w:val="left"/>
      </w:pPr>
      <w:r>
        <w:rPr>
          <w:u w:val="single"/>
        </w:rPr>
        <w:t xml:space="preserve">(ii) If the department determines that a person failed to provide the department with complete and accurate information in response to a written request under (d)(i) of this subsection (2) within thirty days of such request, the person is ineligible for the 1.5 percent tax rate in (a)(ii) of this subsection (2) for the entire current calendar year and the preceding four calendar years, except for any calendar year prior to 2020, and except for reporting periods prior to April 1, 2020. However, the department must waive the provisions of this subsection (2)(d)(ii) for any tax reporting period that the person is otherwise eligible for the 1.5 percent tax rate in (a)(ii) of this subsection (2) if (A) the department has not previously determined that the person failed to fully comply with (d)(i) of this subsection (2), and (B) within thirty days of the notice of additional tax due as a result of the person's failure to fully comply with (d)(i) of this subsection (2) the department determines that the person has come into full compliance with (d)(i) of this subsection (2).</w:t>
      </w:r>
    </w:p>
    <w:p>
      <w:pPr>
        <w:spacing w:before="0" w:after="0" w:line="408" w:lineRule="exact"/>
        <w:ind w:left="0" w:right="0" w:firstLine="576"/>
        <w:jc w:val="left"/>
      </w:pPr>
      <w:r>
        <w:rPr>
          <w:u w:val="single"/>
        </w:rPr>
        <w:t xml:space="preserve">(e) For purposes of this subsection (2), the definitions in this subsection (2)(e) apply:</w:t>
      </w:r>
    </w:p>
    <w:p>
      <w:pPr>
        <w:spacing w:before="0" w:after="0" w:line="408" w:lineRule="exact"/>
        <w:ind w:left="0" w:right="0" w:firstLine="576"/>
        <w:jc w:val="left"/>
      </w:pPr>
      <w:r>
        <w:rPr>
          <w:u w:val="single"/>
        </w:rPr>
        <w:t xml:space="preserve">(i) "Affiliate" means a person that directly or indirectly, through one or more intermediaries, controls, is controlled by, or is under common control with another person; and</w:t>
      </w:r>
    </w:p>
    <w:p>
      <w:pPr>
        <w:spacing w:before="0" w:after="0" w:line="408" w:lineRule="exact"/>
        <w:ind w:left="0" w:right="0" w:firstLine="576"/>
        <w:jc w:val="left"/>
      </w:pPr>
      <w:r>
        <w:rPr>
          <w:u w:val="single"/>
        </w:rPr>
        <w:t xml:space="preserve">(ii) "Control" means the possession, directly or indirectly, of more than eighty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(Workforce education investment surcharges) and 2019 c 406 s 74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and 2010 1st sp.s. c 23 s 1102 are each amended to read as follows:</w:t>
      </w:r>
    </w:p>
    <w:p>
      <w:pPr>
        <w:spacing w:before="0" w:after="0" w:line="408" w:lineRule="exact"/>
        <w:ind w:left="0" w:right="0" w:firstLine="576"/>
        <w:jc w:val="left"/>
      </w:pPr>
      <w:r>
        <w:rPr/>
        <w:t xml:space="preserve">(1) In computing the tax imposed under this chapter, a credit is allowed against the amount of tax otherwise due under this chapter, as provided in this section. Except for taxpayers that report at least fifty percent of their taxable amount under RCW 82.04.255, 82.04.290(2)(a), and 82.04.285, the maximum credit for a taxpayer for a reporting period is </w:t>
      </w:r>
      <w:r>
        <w:t>((</w:t>
      </w:r>
      <w:r>
        <w:rPr>
          <w:strike/>
        </w:rPr>
        <w:t xml:space="preserve">thirty-five</w:t>
      </w:r>
      <w:r>
        <w:t>))</w:t>
      </w:r>
      <w:r>
        <w:rPr/>
        <w:t xml:space="preserve"> </w:t>
      </w:r>
      <w:r>
        <w:rPr>
          <w:u w:val="single"/>
        </w:rPr>
        <w:t xml:space="preserve">sixty</w:t>
      </w:r>
      <w:r>
        <w:rPr/>
        <w:t xml:space="preserve"> dollars multiplied by the number of months in the reporting period, as determined under RCW 82.32.045. For a taxpayer that reports at least fifty percent of its taxable amount under RCW 82.04.255, 82.04.290(2)(a), and 82.04.285, the maximum credit for a reporting period is </w:t>
      </w:r>
      <w:r>
        <w:t>((</w:t>
      </w:r>
      <w:r>
        <w:rPr>
          <w:strike/>
        </w:rPr>
        <w:t xml:space="preserve">seventy</w:t>
      </w:r>
      <w:r>
        <w:t>))</w:t>
      </w:r>
      <w:r>
        <w:rPr/>
        <w:t xml:space="preserve"> </w:t>
      </w:r>
      <w:r>
        <w:rPr>
          <w:u w:val="single"/>
        </w:rPr>
        <w:t xml:space="preserve">one hundred twenty-five</w:t>
      </w:r>
      <w:r>
        <w:rPr/>
        <w:t xml:space="preserve"> dollars multiplied by the number of months in the reporting period, as determined under RCW 82.32.045.</w:t>
      </w:r>
    </w:p>
    <w:p>
      <w:pPr>
        <w:spacing w:before="0" w:after="0" w:line="408" w:lineRule="exact"/>
        <w:ind w:left="0" w:right="0" w:firstLine="576"/>
        <w:jc w:val="left"/>
      </w:pPr>
      <w:r>
        <w:rPr/>
        <w:t xml:space="preserve">(2) When the amount of tax otherwise due under this chapter is equal to or less than the maximum credit, a credit is allowed equal to the amount of tax otherwise due under this chapter.</w:t>
      </w:r>
    </w:p>
    <w:p>
      <w:pPr>
        <w:spacing w:before="0" w:after="0" w:line="408" w:lineRule="exact"/>
        <w:ind w:left="0" w:right="0" w:firstLine="576"/>
        <w:jc w:val="left"/>
      </w:pPr>
      <w:r>
        <w:rPr/>
        <w:t xml:space="preserve">(3) When the amount of tax otherwise due under this chapter exceeds the maximum credit, a reduced credit is allowed equal to twice the maximum credit, minus the tax otherwise due under this chapter, but not less than zero.</w:t>
      </w:r>
    </w:p>
    <w:p>
      <w:pPr>
        <w:spacing w:before="0" w:after="0" w:line="408" w:lineRule="exact"/>
        <w:ind w:left="0" w:right="0" w:firstLine="576"/>
        <w:jc w:val="left"/>
      </w:pPr>
      <w:r>
        <w:rPr/>
        <w:t xml:space="preserve">(4) The department may prepare a tax credit table consisting of tax ranges using increments of no more than five dollars and a corresponding tax credit to be applied to those tax ranges. The table shall be prepared in such a manner that no taxpayer will owe a greater amount of tax by using the table than would be owed by performing the calculation under subsections (1) through (3) of this section. A table prepared by the department under this subsection must be used by all taxpayers in taking the credit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2019 c 63 s 2 and 2019 c 8 s 302 are each reenacted and amended to read as follows:</w:t>
      </w:r>
    </w:p>
    <w:p>
      <w:pPr>
        <w:spacing w:before="0" w:after="0" w:line="408" w:lineRule="exact"/>
        <w:ind w:left="0" w:right="0" w:firstLine="576"/>
        <w:jc w:val="left"/>
      </w:pPr>
      <w:r>
        <w:rPr/>
        <w:t xml:space="preserve">(1) Except as otherwise provided in this chapter and subsection (6) of this section,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w:t>
      </w:r>
      <w:r>
        <w:t>((</w:t>
      </w:r>
      <w:r>
        <w:rPr>
          <w:strike/>
        </w:rPr>
        <w:t xml:space="preserve">Twenty-eight</w:t>
      </w:r>
      <w:r>
        <w:t>))</w:t>
      </w:r>
      <w:r>
        <w:rPr/>
        <w:t xml:space="preserve"> </w:t>
      </w:r>
      <w:r>
        <w:rPr>
          <w:u w:val="single"/>
        </w:rPr>
        <w:t xml:space="preserve">Fifty</w:t>
      </w:r>
      <w:r>
        <w:rPr/>
        <w:t xml:space="preserve"> thousand dollars per year; or</w:t>
      </w:r>
    </w:p>
    <w:p>
      <w:pPr>
        <w:spacing w:before="0" w:after="0" w:line="408" w:lineRule="exact"/>
        <w:ind w:left="0" w:right="0" w:firstLine="576"/>
        <w:jc w:val="left"/>
      </w:pPr>
      <w:r>
        <w:rPr/>
        <w:t xml:space="preserve">(ii) </w:t>
      </w:r>
      <w:r>
        <w:t>((</w:t>
      </w:r>
      <w:r>
        <w:rPr>
          <w:strike/>
        </w:rPr>
        <w:t xml:space="preserve">Forty-six</w:t>
      </w:r>
      <w:r>
        <w:t>))</w:t>
      </w:r>
      <w:r>
        <w:rPr/>
        <w:t xml:space="preserve"> </w:t>
      </w:r>
      <w:r>
        <w:rPr>
          <w:u w:val="single"/>
        </w:rPr>
        <w:t xml:space="preserve">One hundred</w:t>
      </w:r>
      <w:r>
        <w:rPr/>
        <w:t xml:space="preserve">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Sections 1 through 3 of this act are necessary for the immediate preservation of the public peace, health, or safety, or support of the state government and its existing public institutions, and take effect April 1, 2020.</w:t>
      </w:r>
    </w:p>
    <w:p>
      <w:pPr>
        <w:spacing w:before="0" w:after="0" w:line="408" w:lineRule="exact"/>
        <w:ind w:left="0" w:right="0" w:firstLine="576"/>
        <w:jc w:val="left"/>
      </w:pPr>
      <w:r>
        <w:rPr/>
        <w:t xml:space="preserve">(3) Sections 5 and 6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both prospectively and retroactively to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applies beginning with gross income of the business, as defined in RCW 82.04.080, received or accrued by taxpayers, on or after April 1, 2020.</w:t>
      </w:r>
    </w:p>
    <w:p/>
    <w:p>
      <w:pPr>
        <w:jc w:val="center"/>
      </w:pPr>
      <w:r>
        <w:rPr>
          <w:b/>
        </w:rPr>
        <w:t>--- END ---</w:t>
      </w:r>
    </w:p>
    <w:sectPr>
      <w:pgNumType w:start="1"/>
      <w:footerReference xmlns:r="http://schemas.openxmlformats.org/officeDocument/2006/relationships" r:id="Rcfd46ed824ac47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0370258a9a4911" /><Relationship Type="http://schemas.openxmlformats.org/officeDocument/2006/relationships/footer" Target="/word/footer1.xml" Id="Rcfd46ed824ac47d3" /></Relationships>
</file>