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d6576e1c844638" /></Relationships>
</file>

<file path=word/document.xml><?xml version="1.0" encoding="utf-8"?>
<w:document xmlns:w="http://schemas.openxmlformats.org/wordprocessingml/2006/main">
  <w:body>
    <w:p>
      <w:r>
        <w:t>S-6117.1</w:t>
      </w:r>
    </w:p>
    <w:p>
      <w:pPr>
        <w:jc w:val="center"/>
      </w:pPr>
      <w:r>
        <w:t>_______________________________________________</w:t>
      </w:r>
    </w:p>
    <w:p/>
    <w:p>
      <w:pPr>
        <w:jc w:val="center"/>
      </w:pPr>
      <w:r>
        <w:rPr>
          <w:b/>
        </w:rPr>
        <w:t>SUBSTITUTE SENATE BILL 6483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Wilson, C. and Nguyen; by request of Department of Children, Youth, and Families)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rating requirements for child care providers; amending RCW 43.216.515; reenacting and amending RCW 43.216.135; and amending 2019 c 369 s 6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2019 c 369 s 3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 including, but not limited to,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A new early childhood education and assistance program provider must complete the requirements in this subsection to be eligible to receive state-funded support under the early childhood education and assistance program:</w:t>
      </w:r>
    </w:p>
    <w:p>
      <w:pPr>
        <w:spacing w:before="0" w:after="0" w:line="408" w:lineRule="exact"/>
        <w:ind w:left="0" w:right="0" w:firstLine="576"/>
        <w:jc w:val="left"/>
      </w:pPr>
      <w:r>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t xml:space="preserve">(b)(i) Except as provided in (b)(ii) of this subsection, rate at a level 4 or 5 in the early achievers program within twenty-four months of enrollment. If an early childhood education and assistance program provider rates below a level 4 within twenty-four months of enrollment, the provider must complete remedial activities with the department, and </w:t>
      </w:r>
      <w:r>
        <w:rPr>
          <w:u w:val="single"/>
        </w:rPr>
        <w:t xml:space="preserve">must</w:t>
      </w:r>
      <w:r>
        <w:rPr/>
        <w:t xml:space="preserve"> rate at </w:t>
      </w:r>
      <w:r>
        <w:rPr>
          <w:u w:val="single"/>
        </w:rPr>
        <w:t xml:space="preserve">or request to be rated at</w:t>
      </w:r>
      <w:r>
        <w:rPr/>
        <w:t xml:space="preserve"> a level 4 or 5 within </w:t>
      </w:r>
      <w:r>
        <w:t>((</w:t>
      </w:r>
      <w:r>
        <w:rPr>
          <w:strike/>
        </w:rPr>
        <w:t xml:space="preserve">six</w:t>
      </w:r>
      <w:r>
        <w:t>))</w:t>
      </w:r>
      <w:r>
        <w:rPr/>
        <w:t xml:space="preserve"> </w:t>
      </w:r>
      <w:r>
        <w:rPr>
          <w:u w:val="single"/>
        </w:rPr>
        <w:t xml:space="preserve">twelve</w:t>
      </w:r>
      <w:r>
        <w:rPr/>
        <w:t xml:space="preserve"> months of beginning remedial activities.</w:t>
      </w:r>
    </w:p>
    <w:p>
      <w:pPr>
        <w:spacing w:before="0" w:after="0" w:line="408" w:lineRule="exact"/>
        <w:ind w:left="0" w:right="0" w:firstLine="576"/>
        <w:jc w:val="left"/>
      </w:pPr>
      <w:r>
        <w:rPr/>
        <w:t xml:space="preserve">(ii) Licensed or certified child care centers and homes that administer an early childhood education and assistance program shall rate at a level 4 or 5 in the early achievers program within twenty-four months of the start date of the early childhood education and assistance program contract. If an early childhood education and assistance program provider rates below a level 4 within twenty-four months, the provider must complete remedial activities with the department, and </w:t>
      </w:r>
      <w:r>
        <w:rPr>
          <w:u w:val="single"/>
        </w:rPr>
        <w:t xml:space="preserve">must</w:t>
      </w:r>
      <w:r>
        <w:rPr/>
        <w:t xml:space="preserve"> rate at </w:t>
      </w:r>
      <w:r>
        <w:rPr>
          <w:u w:val="single"/>
        </w:rPr>
        <w:t xml:space="preserve">or request to be rated at</w:t>
      </w:r>
      <w:r>
        <w:rPr/>
        <w:t xml:space="preserve"> a level 4 or 5 within </w:t>
      </w:r>
      <w:r>
        <w:t>((</w:t>
      </w:r>
      <w:r>
        <w:rPr>
          <w:strike/>
        </w:rPr>
        <w:t xml:space="preserve">six</w:t>
      </w:r>
      <w:r>
        <w:t>))</w:t>
      </w:r>
      <w:r>
        <w:rPr/>
        <w:t xml:space="preserve"> </w:t>
      </w:r>
      <w:r>
        <w:rPr>
          <w:u w:val="single"/>
        </w:rPr>
        <w:t xml:space="preserve">twelve</w:t>
      </w:r>
      <w:r>
        <w:rPr/>
        <w:t xml:space="preserve"> months of beginning remedial activities.</w:t>
      </w:r>
    </w:p>
    <w:p>
      <w:pPr>
        <w:spacing w:before="0" w:after="0" w:line="408" w:lineRule="exact"/>
        <w:ind w:left="0" w:right="0" w:firstLine="576"/>
        <w:jc w:val="left"/>
      </w:pPr>
      <w:r>
        <w:rPr/>
        <w:t xml:space="preserve">(5)(a)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t xml:space="preserve">(b) To avoid disruption, the department may allow for early childhood education and assistance program providers who have rated below a level 4 after completion of the </w:t>
      </w:r>
      <w:r>
        <w:t>((</w:t>
      </w:r>
      <w:r>
        <w:rPr>
          <w:strike/>
        </w:rPr>
        <w:t xml:space="preserve">six</w:t>
      </w:r>
      <w:r>
        <w:t>))</w:t>
      </w:r>
      <w:r>
        <w:rPr/>
        <w:t xml:space="preserve"> </w:t>
      </w:r>
      <w:r>
        <w:rPr>
          <w:u w:val="single"/>
        </w:rPr>
        <w:t xml:space="preserve">twelve</w:t>
      </w:r>
      <w:r>
        <w:rPr/>
        <w:t xml:space="preserve">-month remedial period to continue to provide services until the current school year is finished.</w:t>
      </w:r>
    </w:p>
    <w:p>
      <w:pPr>
        <w:spacing w:before="0" w:after="0" w:line="408" w:lineRule="exact"/>
        <w:ind w:left="0" w:right="0" w:firstLine="576"/>
        <w:jc w:val="left"/>
      </w:pPr>
      <w:r>
        <w:rPr>
          <w:u w:val="single"/>
        </w:rPr>
        <w:t xml:space="preserve">(c)(i) If the early childhood education and assistance program provider described under subsection (4)(b)(i) or (ii) of this section does not rate or request to be rated at a level 4 or 5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u w:val="single"/>
        </w:rPr>
        <w:t xml:space="preserve">(ii) If the early childhood education and assistance program provider described under subsection (4)(b)(i) or (ii) of this section does not rate at a level 4 or 5 when the rating is released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t xml:space="preserve">(6)(a) When an early childhood education and assistance program in good standing changes classroom locations to a comparable or improved space within the same facility, a rerating is not required outside of the regular rerating and renewal cycle.</w:t>
      </w:r>
    </w:p>
    <w:p>
      <w:pPr>
        <w:spacing w:before="0" w:after="0" w:line="408" w:lineRule="exact"/>
        <w:ind w:left="0" w:right="0" w:firstLine="576"/>
        <w:jc w:val="left"/>
      </w:pPr>
      <w:r>
        <w:rPr/>
        <w:t xml:space="preserve">(b) When an early childhood education and assistance program in good standing moves to a new facility,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 and the provider will cease to receive tiered reimbursement incentives until a new rating is completed.</w:t>
      </w:r>
    </w:p>
    <w:p>
      <w:pPr>
        <w:spacing w:before="0" w:after="0" w:line="408" w:lineRule="exact"/>
        <w:ind w:left="0" w:right="0" w:firstLine="576"/>
        <w:jc w:val="left"/>
      </w:pPr>
      <w:r>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43.216.089.</w:t>
      </w:r>
    </w:p>
    <w:p>
      <w:pPr>
        <w:spacing w:before="0" w:after="0" w:line="408" w:lineRule="exact"/>
        <w:ind w:left="0" w:right="0" w:firstLine="576"/>
        <w:jc w:val="left"/>
      </w:pPr>
      <w:r>
        <w:rPr/>
        <w:t xml:space="preserve">(8) The department shall develop multiple pathways for licensed or certified child care centers and homes to administer an early childhood education and assistance program. The pathways shall include an accommodation for these providers to rate at a level 4 or 5 in the early achievers program according to the timelines and standards established in subsection (4)(b)(ii) of this section. 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w:t>
      </w:r>
      <w:r>
        <w:t>((</w:t>
      </w:r>
      <w:r>
        <w:rPr>
          <w:strike/>
        </w:rPr>
        <w:t xml:space="preserve">is no longer eligible to receive state subsidy. If the provider rates below a level 3 when the rating is released, the provider</w:t>
      </w:r>
      <w:r>
        <w:t>))</w:t>
      </w:r>
      <w:r>
        <w:rPr/>
        <w:t xml:space="preserve">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(4)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w:t>
      </w:r>
      <w:r>
        <w:t>((</w:t>
      </w:r>
      <w:r>
        <w:rPr>
          <w:strike/>
        </w:rPr>
        <w:t xml:space="preserve">is no longer eligible to receive state subsidy. If the provider rates below a level 3 when the rating is released, the provider</w:t>
      </w:r>
      <w:r>
        <w:t>))</w:t>
      </w:r>
      <w:r>
        <w:rPr/>
        <w:t xml:space="preserve">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rPr/>
        <w:t xml:space="preserve">(5)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369 s 6</w:t>
      </w:r>
      <w:r>
        <w:rPr/>
        <w:t xml:space="preserve"> (uncodified) is amended to read as follows:</w:t>
      </w:r>
    </w:p>
    <w:p>
      <w:pPr>
        <w:spacing w:before="0" w:after="0" w:line="408" w:lineRule="exact"/>
        <w:ind w:left="0" w:right="0" w:firstLine="576"/>
        <w:jc w:val="left"/>
      </w:pPr>
      <w:r>
        <w:rPr/>
        <w:t xml:space="preserve">(1) Subject to the availability of amounts appropriated for this specific purpose, the department of children, youth, and families must deliver a progress report to the governor and the legislature by </w:t>
      </w:r>
      <w:r>
        <w:t>((</w:t>
      </w:r>
      <w:r>
        <w:rPr>
          <w:strike/>
        </w:rPr>
        <w:t xml:space="preserve">July</w:t>
      </w:r>
      <w:r>
        <w:t>))</w:t>
      </w:r>
      <w:r>
        <w:rPr/>
        <w:t xml:space="preserve"> </w:t>
      </w:r>
      <w:r>
        <w:rPr>
          <w:u w:val="single"/>
        </w:rPr>
        <w:t xml:space="preserve">September</w:t>
      </w:r>
      <w:r>
        <w:rPr/>
        <w:t xml:space="preserve"> 1, 2020, and a final report by July 1, 2021, that includes:</w:t>
      </w:r>
    </w:p>
    <w:p>
      <w:pPr>
        <w:spacing w:before="0" w:after="0" w:line="408" w:lineRule="exact"/>
        <w:ind w:left="0" w:right="0" w:firstLine="576"/>
        <w:jc w:val="left"/>
      </w:pPr>
      <w:r>
        <w:rPr/>
        <w:t xml:space="preserve">(a) An analysis of consumer income and copay requirements in the working connections child care program and recommendations for mitigating the "cliff effect" for child care subsidy consumers. Recommendations must consider:</w:t>
      </w:r>
    </w:p>
    <w:p>
      <w:pPr>
        <w:spacing w:before="0" w:after="0" w:line="408" w:lineRule="exact"/>
        <w:ind w:left="0" w:right="0" w:firstLine="576"/>
        <w:jc w:val="left"/>
      </w:pPr>
      <w:r>
        <w:rPr/>
        <w:t xml:space="preserve">(i) How to further develop and implement a sliding scale or tiered reimbursement and phase-out model that works for both consumers and providers and provides incentives for quality child care across communities;</w:t>
      </w:r>
    </w:p>
    <w:p>
      <w:pPr>
        <w:spacing w:before="0" w:after="0" w:line="408" w:lineRule="exact"/>
        <w:ind w:left="0" w:right="0" w:firstLine="576"/>
        <w:jc w:val="left"/>
      </w:pPr>
      <w:r>
        <w:rPr/>
        <w:t xml:space="preserve">(ii) Whether or not increasing or decreasing the eligibility threshold for working connections child care would allow parents to grow professionally without losing affordable child care;</w:t>
      </w:r>
    </w:p>
    <w:p>
      <w:pPr>
        <w:spacing w:before="0" w:after="0" w:line="408" w:lineRule="exact"/>
        <w:ind w:left="0" w:right="0" w:firstLine="576"/>
        <w:jc w:val="left"/>
      </w:pPr>
      <w:r>
        <w:rPr/>
        <w:t xml:space="preserve">(iii) Whether further graduation of the copay scale would help alleviate the cliff that occurs at subsidy cutoff; and</w:t>
      </w:r>
    </w:p>
    <w:p>
      <w:pPr>
        <w:spacing w:before="0" w:after="0" w:line="408" w:lineRule="exact"/>
        <w:ind w:left="0" w:right="0" w:firstLine="576"/>
        <w:jc w:val="left"/>
      </w:pPr>
      <w:r>
        <w:rPr/>
        <w:t xml:space="preserve">(iv) Capping family child care expenses at seven percent of a</w:t>
      </w:r>
    </w:p>
    <w:p>
      <w:pPr>
        <w:spacing w:before="0" w:after="0" w:line="408" w:lineRule="exact"/>
        <w:ind w:left="0" w:right="0" w:firstLine="0"/>
        <w:jc w:val="left"/>
      </w:pPr>
      <w:r>
        <w:rPr/>
        <w:t xml:space="preserve">family's income;</w:t>
      </w:r>
    </w:p>
    <w:p>
      <w:pPr>
        <w:spacing w:before="0" w:after="0" w:line="408" w:lineRule="exact"/>
        <w:ind w:left="0" w:right="0" w:firstLine="576"/>
        <w:jc w:val="left"/>
      </w:pPr>
      <w:r>
        <w:rPr/>
        <w:t xml:space="preserve">(b) Recommendations related to differential slot rates for the early childhood education and assistance program based on variable factors that may contribute to costs for providers when working to achieve positive child outcomes. When developing the recommendations, the department must:</w:t>
      </w:r>
    </w:p>
    <w:p>
      <w:pPr>
        <w:spacing w:before="0" w:after="0" w:line="408" w:lineRule="exact"/>
        <w:ind w:left="0" w:right="0" w:firstLine="576"/>
        <w:jc w:val="left"/>
      </w:pPr>
      <w:r>
        <w:rPr/>
        <w:t xml:space="preserve">(i) Consider, at a minimum, variations by geographic region, contractor type, child risk factors, and teacher credentials;</w:t>
      </w:r>
    </w:p>
    <w:p>
      <w:pPr>
        <w:spacing w:before="0" w:after="0" w:line="408" w:lineRule="exact"/>
        <w:ind w:left="0" w:right="0" w:firstLine="576"/>
        <w:jc w:val="left"/>
      </w:pPr>
      <w:r>
        <w:rPr/>
        <w:t xml:space="preserve">(ii) Evaluate advantages and disadvantages of linking early childhood education and assistance program rates and other child care subsidy rates; and</w:t>
      </w:r>
    </w:p>
    <w:p>
      <w:pPr>
        <w:spacing w:before="0" w:after="0" w:line="408" w:lineRule="exact"/>
        <w:ind w:left="0" w:right="0" w:firstLine="576"/>
        <w:jc w:val="left"/>
      </w:pPr>
      <w:r>
        <w:rPr/>
        <w:t xml:space="preserve">(iii) Review the department-designated subsidy regions and adjust regional boundaries as necessary to reflect regional economic conditions; and</w:t>
      </w:r>
    </w:p>
    <w:p>
      <w:pPr>
        <w:spacing w:before="0" w:after="0" w:line="408" w:lineRule="exact"/>
        <w:ind w:left="0" w:right="0" w:firstLine="576"/>
        <w:jc w:val="left"/>
      </w:pPr>
      <w:r>
        <w:rPr/>
        <w:t xml:space="preserve">(c) A plan for blending child care development funds and early childhood education and assistance program funds to provide extended day slots in the early childhood education and assistance program. The plan must include consideration of administrative efficiencies gained resulting from fully transferring the working connections child care program into the department.</w:t>
      </w:r>
    </w:p>
    <w:p>
      <w:pPr>
        <w:spacing w:before="0" w:after="0" w:line="408" w:lineRule="exact"/>
        <w:ind w:left="0" w:right="0" w:firstLine="576"/>
        <w:jc w:val="left"/>
      </w:pPr>
      <w:r>
        <w:rPr/>
        <w:t xml:space="preserve">(2) This section expires January 1, </w:t>
      </w:r>
      <w:r>
        <w:t>((</w:t>
      </w:r>
      <w:r>
        <w:rPr>
          <w:strike/>
        </w:rPr>
        <w:t xml:space="preserve">2020</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cb68d373cb904c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d67367e1c64b0f" /><Relationship Type="http://schemas.openxmlformats.org/officeDocument/2006/relationships/footer" Target="/word/footer1.xml" Id="Rcb68d373cb904c77" /></Relationships>
</file>