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fe35e430b14e85" /></Relationships>
</file>

<file path=word/document.xml><?xml version="1.0" encoding="utf-8"?>
<w:document xmlns:w="http://schemas.openxmlformats.org/wordprocessingml/2006/main">
  <w:body>
    <w:p>
      <w:r>
        <w:t>S-5886.1</w:t>
      </w:r>
    </w:p>
    <w:p>
      <w:pPr>
        <w:jc w:val="center"/>
      </w:pPr>
      <w:r>
        <w:t>_______________________________________________</w:t>
      </w:r>
    </w:p>
    <w:p/>
    <w:p>
      <w:pPr>
        <w:jc w:val="center"/>
      </w:pPr>
      <w:r>
        <w:rPr>
          <w:b/>
        </w:rPr>
        <w:t>SUBSTITUTE SENATE BILL 6478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Nguyen, Darneille, Stanford, Saldaña, Dhingra, Das, and Hasegawa)</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economic assistance programs by updating standards of need, revising outcome measures and data collected, and reducing barriers to participation; reenacting and amending RCW 74.08A.260;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2018 c 126 s 5 and 2018 c 58 s 8 are each reenacted and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w:t>
      </w:r>
      <w:r>
        <w:rPr>
          <w:u w:val="single"/>
        </w:rPr>
        <w:t xml:space="preserve">after two months of continuous noncompliance,</w:t>
      </w:r>
      <w:r>
        <w:rPr/>
        <w:t xml:space="preserve"> the family's grant </w:t>
      </w:r>
      <w:r>
        <w:t>((</w:t>
      </w:r>
      <w:r>
        <w:rPr>
          <w:strike/>
        </w:rPr>
        <w:t xml:space="preserve">shall</w:t>
      </w:r>
      <w:r>
        <w:t>))</w:t>
      </w:r>
      <w:r>
        <w:rPr/>
        <w:t xml:space="preserve"> </w:t>
      </w:r>
      <w:r>
        <w:rPr>
          <w:u w:val="single"/>
        </w:rPr>
        <w:t xml:space="preserve">may</w:t>
      </w:r>
      <w:r>
        <w:rPr/>
        <w:t xml:space="preserve"> be reduced by the recipient's share</w:t>
      </w:r>
      <w:r>
        <w:t>((</w:t>
      </w:r>
      <w:r>
        <w:rPr>
          <w:strike/>
        </w:rPr>
        <w:t xml:space="preserve">, and may, if the department determines it appropriate, be terminated</w:t>
      </w:r>
      <w:r>
        <w:t>))</w:t>
      </w:r>
      <w:r>
        <w:rPr/>
        <w:t xml:space="preserve"> </w:t>
      </w:r>
      <w:r>
        <w:rPr>
          <w:u w:val="single"/>
        </w:rPr>
        <w:t xml:space="preserve">or by forty percent, whichever is greater</w:t>
      </w:r>
      <w:r>
        <w:rPr/>
        <w:t xml:space="preserve">.</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2020, in the supplemental omnibus appropriations act, this act is null and void.</w:t>
      </w:r>
    </w:p>
    <w:p/>
    <w:p>
      <w:pPr>
        <w:jc w:val="center"/>
      </w:pPr>
      <w:r>
        <w:rPr>
          <w:b/>
        </w:rPr>
        <w:t>--- END ---</w:t>
      </w:r>
    </w:p>
    <w:sectPr>
      <w:pgNumType w:start="1"/>
      <w:footerReference xmlns:r="http://schemas.openxmlformats.org/officeDocument/2006/relationships" r:id="R1b0ff0670adf4b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9b4f1c43d549e5" /><Relationship Type="http://schemas.openxmlformats.org/officeDocument/2006/relationships/footer" Target="/word/footer1.xml" Id="R1b0ff0670adf4be4" /></Relationships>
</file>