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ec28636e84e58" /></Relationships>
</file>

<file path=word/document.xml><?xml version="1.0" encoding="utf-8"?>
<w:document xmlns:w="http://schemas.openxmlformats.org/wordprocessingml/2006/main">
  <w:body>
    <w:p>
      <w:r>
        <w:t>S-5156.1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6455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2020 Regular Session</w:t>
      </w:r>
    </w:p>
    <w:p/>
    <w:p>
      <w:r>
        <w:rPr>
          <w:b/>
        </w:rPr>
        <w:t xml:space="preserve">By </w:t>
      </w:r>
      <w:r>
        <w:t>Senators Liias, King, Billig, Nguyen, Cleveland, Hunt, Saldaña, Van De Wege, and Wilson, C.</w:t>
      </w:r>
    </w:p>
    <w:p/>
    <w:p>
      <w:r>
        <w:rPr>
          <w:t xml:space="preserve">Read first time 01/17/20.  </w:t>
        </w:rPr>
      </w:r>
      <w:r>
        <w:rPr>
          <w:t xml:space="preserve">Referred to Committee on Health &amp; Long Term Care.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default beverages for children's meals; and adding a new section to chapter 43.20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43</w:t>
      </w:r>
      <w:r>
        <w:rPr/>
        <w:t xml:space="preserve">.</w:t>
      </w:r>
      <w:r>
        <w:t xml:space="preserve">20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restaurant that sells a children's meal shall make the default beverage offered with the children's meal one of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Water, sparkling water, or flavored water, with no added natural or artificial sweeteners;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Unflavored milk;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A nondairy milk alternative that contains no more than one hundred thirty calories per container or serving.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beverage listed or displayed on a restaurant menu or advertisement for a children's meal must be one of the default beverages listed in subsection (1) of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This section does not prohibit a restaurant's ability to sell, or a customer's ability to purchase, an alternative beverage instead of the default beverage offered with the children's meal, if requested by the purchaser of the children's meal.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The state board may adopt rules as necessary to implement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The local health jurisdiction shall implement, administer, and enforce this section and any rules adopted by the state board pursuant to subsection (4) of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A restaurant found to violate this section shall receive a written warning for the first violation. A second violation within a five-year period from the written notification is punishable by a fine of not more than two hundred fifty dollars. A third or any subsequent violations within a five-year period is punishable by a fine of not more than five hundred dollars. A restaurant may not be found to have violated this section more than once during an inspection visit.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For purposes of this section: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"Children's meal" means a combination of food items and a beverage, or a single food item and a beverage, sold together at a single price, primarily intended for consumption by a child.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"Default beverage" means the beverage automatically included or offered as part of a children's meal, absent a specific request by the purchaser of the children's meal for an alternative beverage.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"Nondairy milk alternative" means a nondairy fluid milk substitute that meets the standards for the national school lunch program in 7 C.F.R. Sec. 210.10 as it existed on November 18, 2019.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"Restaurant" means a retail food establishment that prepares, serves, and vends food directly to the consumer.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503d9161b34f4107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6455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7bafe41054fc9" /><Relationship Type="http://schemas.openxmlformats.org/officeDocument/2006/relationships/footer" Target="/word/footer1.xml" Id="R503d9161b34f4107" /></Relationships>
</file>