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035eaa2fe849f6" /></Relationships>
</file>

<file path=word/document.xml><?xml version="1.0" encoding="utf-8"?>
<w:document xmlns:w="http://schemas.openxmlformats.org/wordprocessingml/2006/main">
  <w:body>
    <w:p>
      <w:r>
        <w:t>S-6080.1</w:t>
      </w:r>
    </w:p>
    <w:p>
      <w:pPr>
        <w:jc w:val="center"/>
      </w:pPr>
      <w:r>
        <w:t>_______________________________________________</w:t>
      </w:r>
    </w:p>
    <w:p/>
    <w:p>
      <w:pPr>
        <w:jc w:val="center"/>
      </w:pPr>
      <w:r>
        <w:rPr>
          <w:b/>
        </w:rPr>
        <w:t>SUBSTITUTE SENATE BILL 6444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Kuderer, Das, Darneille, Wilson, C., Nguyen, and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records; and amending RCW 13.50.260.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unless the court receives an objection to sealing or the court notes a compelling reason not to seal, in which case, the court shall set a contested hearing to be conducted on the record to address sealing.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the victim, and juvenile's attorney.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 </w:t>
      </w:r>
      <w:r>
        <w:rPr>
          <w:u w:val="single"/>
        </w:rPr>
        <w:t xml:space="preserve">or</w:t>
      </w:r>
    </w:p>
    <w:p>
      <w:pPr>
        <w:spacing w:before="0" w:after="0" w:line="408" w:lineRule="exact"/>
        <w:ind w:left="0" w:right="0" w:firstLine="576"/>
        <w:jc w:val="left"/>
      </w:pPr>
      <w:r>
        <w:rPr/>
        <w:t xml:space="preserve">(B) A sex offense under chapter 9A.44 RCW</w:t>
      </w:r>
      <w:r>
        <w:t>((</w:t>
      </w:r>
      <w:r>
        <w:rPr>
          <w:strike/>
        </w:rPr>
        <w:t xml:space="preserve">; or</w:t>
      </w:r>
    </w:p>
    <w:p>
      <w:pPr>
        <w:spacing w:before="0" w:after="0" w:line="408" w:lineRule="exact"/>
        <w:ind w:left="0" w:right="0" w:firstLine="576"/>
        <w:jc w:val="left"/>
      </w:pPr>
      <w:r>
        <w:rPr>
          <w:strike/>
        </w:rPr>
        <w:t xml:space="preserve">(C) A drug offense, as defined in RCW 9.94A.030</w:t>
      </w:r>
      <w:r>
        <w:t>))</w:t>
      </w:r>
      <w:r>
        <w:rPr/>
        <w:t xml:space="preserve">; and</w:t>
      </w:r>
    </w:p>
    <w:p>
      <w:pPr>
        <w:spacing w:before="0" w:after="0" w:line="408" w:lineRule="exact"/>
        <w:ind w:left="0" w:right="0" w:firstLine="576"/>
        <w:jc w:val="left"/>
      </w:pPr>
      <w:r>
        <w:rPr/>
        <w:t xml:space="preserve">(ii) The respondent has completed the terms and conditions of disposition, including affirmative conditions and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w:t>
      </w:r>
      <w:r>
        <w:t>((</w:t>
      </w:r>
      <w:r>
        <w:rPr>
          <w:strike/>
        </w:rPr>
        <w:t xml:space="preserve">provides</w:t>
      </w:r>
      <w:r>
        <w:t>))</w:t>
      </w:r>
      <w:r>
        <w:rPr/>
        <w:t xml:space="preserve"> </w:t>
      </w:r>
      <w:r>
        <w:rPr>
          <w:u w:val="single"/>
        </w:rPr>
        <w:t xml:space="preserve">does not provide</w:t>
      </w:r>
      <w:r>
        <w:rPr/>
        <w:t xml:space="preserve"> criminal justice agencies access to sealed juvenile records information. </w:t>
      </w:r>
      <w:r>
        <w:rPr>
          <w:u w:val="single"/>
        </w:rPr>
        <w:t xml:space="preserve">By October 1, 2020, the Washington state patrol shall remove all sealed juvenile records from the Washington state identification system and any other system it maintains.</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
      <w:pPr>
        <w:jc w:val="center"/>
      </w:pPr>
      <w:r>
        <w:rPr>
          <w:b/>
        </w:rPr>
        <w:t>--- END ---</w:t>
      </w:r>
    </w:p>
    <w:sectPr>
      <w:pgNumType w:start="1"/>
      <w:footerReference xmlns:r="http://schemas.openxmlformats.org/officeDocument/2006/relationships" r:id="Rb2cc421ae18744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e2fc8085974677" /><Relationship Type="http://schemas.openxmlformats.org/officeDocument/2006/relationships/footer" Target="/word/footer1.xml" Id="Rb2cc421ae187445e" /></Relationships>
</file>