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b9728c2e194bb6" /></Relationships>
</file>

<file path=word/document.xml><?xml version="1.0" encoding="utf-8"?>
<w:document xmlns:w="http://schemas.openxmlformats.org/wordprocessingml/2006/main">
  <w:body>
    <w:p>
      <w:r>
        <w:t>S-6159.1</w:t>
      </w:r>
    </w:p>
    <w:p>
      <w:pPr>
        <w:jc w:val="center"/>
      </w:pPr>
      <w:r>
        <w:t>_______________________________________________</w:t>
      </w:r>
    </w:p>
    <w:p/>
    <w:p>
      <w:pPr>
        <w:jc w:val="center"/>
      </w:pPr>
      <w:r>
        <w:rPr>
          <w:b/>
        </w:rPr>
        <w:t>SUBSTITUTE SENATE BILL 6428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Human Services, Reentry &amp; Rehabilitation (originally sponsored by Senators Cleveland, Nguyen, Wilson, C., Das, and Saldaña)</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funding for medical evaluations of suspected victims of child abuse; adding new sections to chapter 7.68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crime victims' compensation fund was established in 1973 to cover medical bills and other costs associated with being the victim of a crime. The legislature finds that state law requires the crime victims' compensation fund to pay the costs of sexual assault examinations of minors when they are performed to gather evidence for possible prosecution. The legislature finds that in 2015, the legislature passed Substitute Senate Bill No. 5897 to provide funding for medical evaluations of suspected child victims of physical abuse. The legislature finds that this law expired June 30, 2019, and was not extended in the omnibus operating appropriations act. The legislature recognizes that while sexual assault examinations are currently provided for by the crime victims' compensation fund, examinations for child victims of felony-level physical assault are not provided for. The legislature finds that medical examinations are important for children who may be victims of felony-level physical abuse. The legislature finds that contributing to the cost of these examinations will incentivize timely evaluations, lead to early identification of abuse, and potentially prevent a child from further traumatization or injury. The legislature therefore resolves to reenact the provision of medical examinations of children who may be victims of felony-level physical abuse.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No costs incurred by an institution as defined by RCW 26.44.020 for the examination of a suspected victim of assault of a child under chapter 9A.36 RCW may be billed or charged directly or indirectly to the suspected victim of the assault. Subject to the availability of amounts appropriated for this specific purpose, the department must pay all costs incurred by an institution as defined in RCW 26.44.020 for the examination of a suspected victim of felony assault of a child.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By November 1, 2020, and annually thereafter, and in compliance with RCW 43.01.036, the department must submit a report to the legislature and governor with the following information: The number of requests to pay for physical abuse exams for child victims of felony level physical assault pursuant to this act, how many of these requests are approved and denied including the reasons for denial, and any other information the department believes is beneficial.</w:t>
      </w:r>
    </w:p>
    <w:p/>
    <w:p>
      <w:pPr>
        <w:jc w:val="center"/>
      </w:pPr>
      <w:r>
        <w:rPr>
          <w:b/>
        </w:rPr>
        <w:t>--- END ---</w:t>
      </w:r>
    </w:p>
    <w:sectPr>
      <w:pgNumType w:start="1"/>
      <w:footerReference xmlns:r="http://schemas.openxmlformats.org/officeDocument/2006/relationships" r:id="Rb9730f84003e487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be667c18014c3d" /><Relationship Type="http://schemas.openxmlformats.org/officeDocument/2006/relationships/footer" Target="/word/footer1.xml" Id="Rb9730f84003e4878" /></Relationships>
</file>