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6651e816c34975" /></Relationships>
</file>

<file path=word/document.xml><?xml version="1.0" encoding="utf-8"?>
<w:document xmlns:w="http://schemas.openxmlformats.org/wordprocessingml/2006/main">
  <w:body>
    <w:p>
      <w:r>
        <w:t>S-6473.1</w:t>
      </w:r>
    </w:p>
    <w:p>
      <w:pPr>
        <w:jc w:val="center"/>
      </w:pPr>
      <w:r>
        <w:t>_______________________________________________</w:t>
      </w:r>
    </w:p>
    <w:p/>
    <w:p>
      <w:pPr>
        <w:jc w:val="center"/>
      </w:pPr>
      <w:r>
        <w:rPr>
          <w:b/>
        </w:rPr>
        <w:t>SECOND SUBSTITUTE SENATE BILL 6411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Das, Zeiger, Cleveland, Wilson, C., Lovelett, Nguyen, Braun, Keiser, Mullet, Hunt, Liias, and Randall; by request of Office of the Governor)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property tax exemption for new and rehabilitated multiple-unit dwellings in urban growth areas; amending RCW 84.14.007, 84.14.010, 84.14.020, 84.14.040, 84.14.060, and 84.14.100;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4, chapter . . ., Laws of 2020 (section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twelve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4, chapter . . ., Laws of 2020 (section 4 of this act), if a review finds that:</w:t>
      </w:r>
    </w:p>
    <w:p>
      <w:pPr>
        <w:spacing w:before="0" w:after="0" w:line="408" w:lineRule="exact"/>
        <w:ind w:left="0" w:right="0" w:firstLine="576"/>
        <w:jc w:val="left"/>
      </w:pPr>
      <w:r>
        <w:rPr/>
        <w:t xml:space="preserve">(a) Projects receiving an initial eight-year or twelve-year exemption regularly enter into subsequent twelve-year extensions in exchange for continued or increased income restrictions on affordable units; and</w:t>
      </w:r>
    </w:p>
    <w:p>
      <w:pPr>
        <w:spacing w:before="0" w:after="0" w:line="408" w:lineRule="exact"/>
        <w:ind w:left="0" w:right="0" w:firstLine="576"/>
        <w:jc w:val="left"/>
      </w:pPr>
      <w:r>
        <w:rPr/>
        <w:t xml:space="preserve">(b) At least twenty percent of the new housing is developed and occupied by households earning:</w:t>
      </w:r>
    </w:p>
    <w:p>
      <w:pPr>
        <w:spacing w:before="0" w:after="0" w:line="408" w:lineRule="exact"/>
        <w:ind w:left="0" w:right="0" w:firstLine="576"/>
        <w:jc w:val="left"/>
      </w:pPr>
      <w:r>
        <w:rPr/>
        <w:t xml:space="preserve">(i) At or below eighty percent of the area median income, at the time of occupancy, adjusted for family size for the city or county in which the project is located; or</w:t>
      </w:r>
    </w:p>
    <w:p>
      <w:pPr>
        <w:spacing w:before="0" w:after="0" w:line="408" w:lineRule="exact"/>
        <w:ind w:left="0" w:right="0" w:firstLine="576"/>
        <w:jc w:val="left"/>
      </w:pPr>
      <w:r>
        <w:rPr/>
        <w:t xml:space="preserve">(ii) Where the housing is intended exclusively for owner occupancy, up to one hundred fifteen percent of the area median income, at the time of sale, adjusted for family size for the city or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007</w:t>
      </w:r>
      <w:r>
        <w:rPr/>
        <w:t xml:space="preserve"> and 2014 c 96 s 2 are each amended to read as follows:</w:t>
      </w:r>
    </w:p>
    <w:p>
      <w:pPr>
        <w:spacing w:before="0" w:after="0" w:line="408" w:lineRule="exact"/>
        <w:ind w:left="0" w:right="0" w:firstLine="576"/>
        <w:jc w:val="left"/>
      </w:pPr>
      <w:r>
        <w:rPr/>
        <w:t xml:space="preserve">It is the purpose of this chapter to encourage increased residential opportunities, including affordable housing opportunities, in </w:t>
      </w:r>
      <w:r>
        <w:rPr>
          <w:u w:val="single"/>
        </w:rPr>
        <w:t xml:space="preserve">residential targeted areas of</w:t>
      </w:r>
      <w:r>
        <w:rPr/>
        <w:t xml:space="preserve"> cities </w:t>
      </w:r>
      <w:r>
        <w:t>((</w:t>
      </w:r>
      <w:r>
        <w:rPr>
          <w:strike/>
        </w:rPr>
        <w:t xml:space="preserve">that are required to plan or choose to plan under the growth management act within urban centers</w:t>
      </w:r>
      <w:r>
        <w:t>))</w:t>
      </w:r>
      <w:r>
        <w:rPr/>
        <w:t xml:space="preserve"> where the governing authority of the affected city has found there is insufficient housing opportunities, including affordable housing opportunities. It is further the purpose of this chapter to stimulate the construction of new multifamily housing and the rehabilitation of existing vacant and underutilized buildings for multifamily housing in </w:t>
      </w:r>
      <w:r>
        <w:t>((</w:t>
      </w:r>
      <w:r>
        <w:rPr>
          <w:strike/>
        </w:rPr>
        <w:t xml:space="preserve">urban centers</w:t>
      </w:r>
      <w:r>
        <w:t>))</w:t>
      </w:r>
      <w:r>
        <w:rPr/>
        <w:t xml:space="preserve"> </w:t>
      </w:r>
      <w:r>
        <w:rPr>
          <w:u w:val="single"/>
        </w:rPr>
        <w:t xml:space="preserve">residential targeted areas</w:t>
      </w:r>
      <w:r>
        <w:rPr/>
        <w:t xml:space="preserve"> having insufficient housing opportunities that will increase and improve residential opportunities, including affordable housing opportunities</w:t>
      </w:r>
      <w:r>
        <w:t>((</w:t>
      </w:r>
      <w:r>
        <w:rPr>
          <w:strike/>
        </w:rPr>
        <w:t xml:space="preserve">, within these urban centers</w:t>
      </w:r>
      <w:r>
        <w:t>))</w:t>
      </w:r>
      <w:r>
        <w:rPr/>
        <w:t xml:space="preserve">. To achieve these purposes, this chapter provides for special valuations in </w:t>
      </w:r>
      <w:r>
        <w:t>((</w:t>
      </w:r>
      <w:r>
        <w:rPr>
          <w:strike/>
        </w:rPr>
        <w:t xml:space="preserve">residentially deficient urban centers</w:t>
      </w:r>
      <w:r>
        <w:t>))</w:t>
      </w:r>
      <w:r>
        <w:rPr/>
        <w:t xml:space="preserve"> </w:t>
      </w:r>
      <w:r>
        <w:rPr>
          <w:u w:val="single"/>
        </w:rPr>
        <w:t xml:space="preserve">designated residential targeted areas</w:t>
      </w:r>
      <w:r>
        <w:rPr/>
        <w:t xml:space="preserve"> for eligible improvements associated with multiunit housing, which includes affordable housing. It is an additional purpose of this chapter to allow unincorporated areas of </w:t>
      </w:r>
      <w:r>
        <w:t>((</w:t>
      </w:r>
      <w:r>
        <w:rPr>
          <w:strike/>
        </w:rPr>
        <w:t xml:space="preserve">rural</w:t>
      </w:r>
      <w:r>
        <w:t>))</w:t>
      </w:r>
      <w:r>
        <w:rPr/>
        <w:t xml:space="preserve"> counties that are within urban growth areas to stimulate housing opportunities </w:t>
      </w:r>
      <w:r>
        <w:t>((</w:t>
      </w:r>
      <w:r>
        <w:rPr>
          <w:strike/>
        </w:rPr>
        <w:t xml:space="preserve">and for certain counties to stimulate housing opportunities near college campuses</w:t>
      </w:r>
      <w:r>
        <w:t>))</w:t>
      </w:r>
      <w:r>
        <w:rPr>
          <w:u w:val="single"/>
        </w:rPr>
        <w:t xml:space="preserve">, to incentivize redevelopment of areas in urban growth areas to promote transit supportive densities and more efficient land use, and</w:t>
      </w:r>
      <w:r>
        <w:rPr/>
        <w:t xml:space="preserve"> to promote dense, transit-oriented, walkable college communities </w:t>
      </w:r>
      <w:r>
        <w:rPr>
          <w:u w:val="single"/>
        </w:rPr>
        <w:t xml:space="preserve">near college campuses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w:t>
      </w:r>
      <w:r>
        <w:t>((</w:t>
      </w:r>
      <w:r>
        <w:rPr>
          <w:strike/>
        </w:rPr>
        <w:t xml:space="preserve">that is rented by a person or household whose</w:t>
      </w:r>
      <w:r>
        <w:t>))</w:t>
      </w:r>
      <w:r>
        <w:rPr/>
        <w:t xml:space="preserve"> </w:t>
      </w:r>
      <w:r>
        <w:rPr>
          <w:u w:val="single"/>
        </w:rPr>
        <w:t xml:space="preserve">for rental occupancy which, as long as the housing is occupied by low-income households, requires payment of</w:t>
      </w:r>
      <w:r>
        <w:rPr/>
        <w:t xml:space="preserve"> monthly housing costs, including utilities other than telephone, </w:t>
      </w:r>
      <w:r>
        <w:t>((</w:t>
      </w:r>
      <w:r>
        <w:rPr>
          <w:strike/>
        </w:rPr>
        <w:t xml:space="preserve">do not exceed</w:t>
      </w:r>
      <w:r>
        <w:t>))</w:t>
      </w:r>
      <w:r>
        <w:rPr/>
        <w:t xml:space="preserve"> </w:t>
      </w:r>
      <w:r>
        <w:rPr>
          <w:u w:val="single"/>
        </w:rPr>
        <w:t xml:space="preserve">of no more than</w:t>
      </w:r>
      <w:r>
        <w:rPr/>
        <w:t xml:space="preserve">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w:t>
      </w:r>
      <w:r>
        <w:t>((</w:t>
      </w:r>
      <w:r>
        <w:rPr>
          <w:strike/>
        </w:rPr>
        <w:t xml:space="preserve">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r>
        <w:t>))</w:t>
      </w:r>
      <w:r>
        <w:rPr/>
        <w:t xml:space="preserve"> </w:t>
      </w:r>
      <w:r>
        <w:rPr>
          <w:u w:val="single"/>
        </w:rPr>
        <w:t xml:space="preserve">any city or town</w:t>
      </w:r>
      <w:r>
        <w:rPr/>
        <w:t xml:space="preserve">.</w:t>
      </w:r>
    </w:p>
    <w:p>
      <w:pPr>
        <w:spacing w:before="0" w:after="0" w:line="408" w:lineRule="exact"/>
        <w:ind w:left="0" w:right="0" w:firstLine="576"/>
        <w:jc w:val="left"/>
      </w:pPr>
      <w:r>
        <w:rPr/>
        <w:t xml:space="preserve">(4) "County" means </w:t>
      </w:r>
      <w:r>
        <w:t>((</w:t>
      </w:r>
      <w:r>
        <w:rPr>
          <w:strike/>
        </w:rPr>
        <w:t xml:space="preserve">a county with an unincorporated population of at least three hundred fifty thousand</w:t>
      </w:r>
      <w:r>
        <w:t>))</w:t>
      </w:r>
      <w:r>
        <w:rPr/>
        <w:t xml:space="preserve"> </w:t>
      </w:r>
      <w:r>
        <w:rPr>
          <w:u w:val="single"/>
        </w:rPr>
        <w:t xml:space="preserve">all counties fully planning under RCW 36.70A.040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w:t>
      </w:r>
      <w:r>
        <w:rPr>
          <w:u w:val="single"/>
        </w:rPr>
        <w:t xml:space="preserve">city or</w:t>
      </w:r>
      <w:r>
        <w:rPr/>
        <w:t xml:space="preserv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w:t>
      </w:r>
      <w:r>
        <w:rPr>
          <w:u w:val="single"/>
        </w:rPr>
        <w:t xml:space="preserve">city or</w:t>
      </w:r>
      <w:r>
        <w:rPr/>
        <w:t xml:space="preserv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w:t>
      </w:r>
      <w:r>
        <w:rPr>
          <w:u w:val="single"/>
        </w:rPr>
        <w:t xml:space="preserve">city or</w:t>
      </w:r>
      <w:r>
        <w:rPr/>
        <w:t xml:space="preserv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w:t>
      </w:r>
      <w:r>
        <w:rPr>
          <w:u w:val="single"/>
        </w:rPr>
        <w:t xml:space="preserve">city or</w:t>
      </w:r>
      <w:r>
        <w:rPr/>
        <w:t xml:space="preserv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w:t>
      </w:r>
      <w:r>
        <w:t>((</w:t>
      </w:r>
      <w:r>
        <w:rPr>
          <w:strike/>
        </w:rPr>
        <w:t xml:space="preserve">rehabilitated</w:t>
      </w:r>
      <w:r>
        <w:t>))</w:t>
      </w:r>
      <w:r>
        <w:rPr/>
        <w:t xml:space="preserve"> </w:t>
      </w:r>
      <w:r>
        <w:rPr>
          <w:u w:val="single"/>
        </w:rPr>
        <w:t xml:space="preserve">rehabilitation</w:t>
      </w:r>
      <w:r>
        <w:rPr/>
        <w:t xml:space="preserve">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w:t>
      </w:r>
      <w:r>
        <w:rPr>
          <w:u w:val="single"/>
        </w:rPr>
        <w:t xml:space="preserve">: (a)(i) Is zoned to allow an average minimum density equivalent to fifteen dwelling units or more per gross acre; or (ii) for cities with a population over twenty thousand, is zoned to allow an average minimum density equivalent to twenty-five dwelling units or more per gross acre; and (b)</w:t>
      </w:r>
      <w:r>
        <w:rPr/>
        <w:t xml:space="preserve">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w:t>
      </w:r>
      <w:r>
        <w:t>((</w:t>
      </w:r>
      <w:r>
        <w:rPr>
          <w:strike/>
        </w:rPr>
        <w:t xml:space="preserve">"Rural county" means a county with a population between fifty thousand and seventy-one thousand and bordering Puget Sound.</w:t>
      </w:r>
    </w:p>
    <w:p>
      <w:pPr>
        <w:spacing w:before="0" w:after="0" w:line="408" w:lineRule="exact"/>
        <w:ind w:left="0" w:right="0" w:firstLine="576"/>
        <w:jc w:val="left"/>
      </w:pPr>
      <w:r>
        <w:rPr>
          <w:strike/>
        </w:rPr>
        <w:t xml:space="preserve">(17)</w:t>
      </w:r>
      <w:r>
        <w:t>))</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2007 c 430 s 4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before July 22, 2007, the value is exempt for ten successive years beginning January 1 of the year immediately following the calendar year of issuance of the certificate; and</w:t>
      </w:r>
    </w:p>
    <w:p>
      <w:pPr>
        <w:spacing w:before="0" w:after="0" w:line="408" w:lineRule="exact"/>
        <w:ind w:left="0" w:right="0" w:firstLine="576"/>
        <w:jc w:val="left"/>
      </w:pPr>
      <w:r>
        <w:rPr/>
        <w:t xml:space="preserve">(ii)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w:t>
      </w:r>
      <w:r>
        <w:rPr>
          <w:u w:val="single"/>
        </w:rPr>
        <w:t xml:space="preserve">this</w:t>
      </w:r>
      <w:r>
        <w:rPr/>
        <w:t xml:space="preserve"> chapter </w:t>
      </w:r>
      <w:r>
        <w:t>((</w:t>
      </w:r>
      <w:r>
        <w:rPr>
          <w:strike/>
        </w:rPr>
        <w:t xml:space="preserve">84.14 RCW</w:t>
      </w:r>
      <w:r>
        <w:t>))</w:t>
      </w:r>
      <w:r>
        <w:rPr/>
        <w:t xml:space="preserve"> and meets the conditions in this subsection (1)(a)(ii)(B). For the property to qualify for the twelve-year exemption under this subsection, the applicant must commit to renting or selling at least twenty percent of the multifamily housing units as affordable housing </w:t>
      </w:r>
      <w:r>
        <w:t>((</w:t>
      </w:r>
      <w:r>
        <w:rPr>
          <w:strike/>
        </w:rPr>
        <w:t xml:space="preserve">units</w:t>
      </w:r>
      <w:r>
        <w:t>))</w:t>
      </w:r>
      <w:r>
        <w:rPr/>
        <w:t xml:space="preserve"> to low and moderate</w:t>
      </w:r>
      <w:r>
        <w:rPr/>
        <w:noBreakHyphen/>
      </w:r>
      <w:r>
        <w:rPr/>
        <w:t xml:space="preserve">income households, </w:t>
      </w:r>
      <w:r>
        <w:rPr>
          <w:u w:val="single"/>
        </w:rPr>
        <w:t xml:space="preserve">the applicant must provide units for a variety of household sizes by providing affordable units of different sizes substantially proportional to the property as a whole,</w:t>
      </w:r>
      <w:r>
        <w:rPr/>
        <w:t xml:space="preserve">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p>
    <w:p>
      <w:pPr>
        <w:spacing w:before="0" w:after="0" w:line="408" w:lineRule="exact"/>
        <w:ind w:left="0" w:right="0" w:firstLine="576"/>
        <w:jc w:val="left"/>
      </w:pPr>
      <w:r>
        <w:rPr/>
        <w:t xml:space="preserve">(b) The exemptions provided in (a)(i) and (ii) of this subsection do not include the value of land or nonhousing-related improvements not qualifying under this chapter.</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w:t>
      </w:r>
      <w:r>
        <w:t>((</w:t>
      </w:r>
      <w:r>
        <w:rPr>
          <w:strike/>
        </w:rPr>
        <w:t xml:space="preserve">At the conclusion of the exemption period, the new or rehabilitated housing cost shall</w:t>
      </w:r>
      <w:r>
        <w:t>))</w:t>
      </w:r>
      <w:r>
        <w:rPr/>
        <w:t xml:space="preserve"> </w:t>
      </w:r>
      <w:r>
        <w:rPr>
          <w:u w:val="single"/>
        </w:rPr>
        <w:t xml:space="preserve">The value of the new housing construction, conversion, or rehabilitation improvements must</w:t>
      </w:r>
      <w:r>
        <w:rPr/>
        <w:t xml:space="preserve"> be considered as new construction for the purposes of chapter</w:t>
      </w:r>
      <w:r>
        <w:rPr>
          <w:u w:val="single"/>
        </w:rPr>
        <w:t xml:space="preserve">s</w:t>
      </w:r>
      <w:r>
        <w:rPr/>
        <w:t xml:space="preserve"> 84.55 </w:t>
      </w:r>
      <w:r>
        <w:rPr>
          <w:u w:val="single"/>
        </w:rPr>
        <w:t xml:space="preserve">and 36.21</w:t>
      </w:r>
      <w:r>
        <w:rPr/>
        <w:t xml:space="preserve"> RCW </w:t>
      </w:r>
      <w:r>
        <w:rPr>
          <w:u w:val="single"/>
        </w:rPr>
        <w:t xml:space="preserve">as though the property was not exempt under this chapter.</w:t>
      </w:r>
    </w:p>
    <w:p>
      <w:pPr>
        <w:spacing w:before="0" w:after="0" w:line="408" w:lineRule="exact"/>
        <w:ind w:left="0" w:right="0" w:firstLine="576"/>
        <w:jc w:val="left"/>
      </w:pPr>
      <w:r>
        <w:rPr>
          <w:u w:val="single"/>
        </w:rPr>
        <w:t xml:space="preserve">(6) For properties that qualified for, satisfied the conditions of, and utilized the exemption under subsection (1)(a)(ii)(A) of this section, following the initial eight-year exemption period, the exemption period may be extended for an additional twelve years, provided that the local government adopts qualifying guidelines for such an extension, and the applicant meets at a minimum the locally adopted requirements for the property to qualify for an exemption under subsection (1)(a)(ii)(B) of this section.</w:t>
      </w:r>
    </w:p>
    <w:p>
      <w:pPr>
        <w:spacing w:before="0" w:after="0" w:line="408" w:lineRule="exact"/>
        <w:ind w:left="0" w:right="0" w:firstLine="576"/>
        <w:jc w:val="left"/>
      </w:pPr>
      <w:r>
        <w:rPr>
          <w:u w:val="single"/>
        </w:rPr>
        <w:t xml:space="preserve">(7) For properties that qualified for, satisfied the conditions of, and utilized the exemption under subsection (1)(a)(ii)(B) of this section, following the initial twelve-year exemption period, the exemption period may be extended for an additional twelve years, provided that the local government adopts qualifying guidelines for such an extension. The local government may adopt and implement more stringent requirements, including limits that apply to a higher percentage of units than the minimum conditions required for the exemption as provided under subsection (1)(a)(ii)(B) of this section in order to qualify for an extension. For the property to qualify for an extension under this subsection (7), the applicant must meet at a minimum the locally adopted requirements for the property to qualify for an exemption under subsection (1)(a)(ii)(B) of this section.</w:t>
      </w:r>
    </w:p>
    <w:p>
      <w:pPr>
        <w:spacing w:before="0" w:after="0" w:line="408" w:lineRule="exact"/>
        <w:ind w:left="0" w:right="0" w:firstLine="576"/>
        <w:jc w:val="left"/>
      </w:pPr>
      <w:r>
        <w:rPr>
          <w:u w:val="single"/>
        </w:rPr>
        <w:t xml:space="preserve">(8)(a) At the end of both the tenth and eleventh years of an exemption provided under (1)(a)(ii)(B) of this section, applicants must provide tenants of rent-restricted units with notification of intent to apply for an additional exemption period, or intent to increase rents at the close of the exemption.</w:t>
      </w:r>
    </w:p>
    <w:p>
      <w:pPr>
        <w:spacing w:before="0" w:after="0" w:line="408" w:lineRule="exact"/>
        <w:ind w:left="0" w:right="0" w:firstLine="576"/>
        <w:jc w:val="left"/>
      </w:pPr>
      <w:r>
        <w:rPr>
          <w:u w:val="single"/>
        </w:rPr>
        <w:t xml:space="preserve">(b) At the end of both the tenth and eleventh years of an extended exemption provided under subsection (6) or (7) of this section, applicants must provide tenants of rent-restricted units with notification of intent to increase rents at the close of the exemption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w:t>
      </w:r>
      <w:r>
        <w:rPr>
          <w:u w:val="single"/>
        </w:rPr>
        <w:t xml:space="preserve">a city, or for a county, within</w:t>
      </w:r>
      <w:r>
        <w:rPr/>
        <w:t xml:space="preserve"> an urban center, as determined by the governing authority</w:t>
      </w:r>
      <w:r>
        <w:rPr>
          <w:u w:val="single"/>
        </w:rPr>
        <w:t xml:space="preserve">, and must be zoned to allow an average minimum density equivalent to fifteen dwelling units or more per gross acre, or for cities with a population over twenty thousand, be zoned to allow an average minimum density equivalent to twenty-five dwelling units or more per gross acre</w:t>
      </w:r>
      <w:r>
        <w:rPr/>
        <w:t xml:space="preserve">;</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w:t>
      </w:r>
      <w:r>
        <w:t>((</w:t>
      </w:r>
      <w:r>
        <w:rPr>
          <w:strike/>
        </w:rPr>
        <w:t xml:space="preserve">rural</w:t>
      </w:r>
      <w:r>
        <w:t>))</w:t>
      </w:r>
      <w:r>
        <w:rPr/>
        <w:t xml:space="preserve"> county, served by a sewer system and designated by a county prior to January 1, 2013; </w:t>
      </w:r>
      <w:r>
        <w:t>((</w:t>
      </w:r>
      <w:r>
        <w:rPr>
          <w:strike/>
        </w:rPr>
        <w:t xml:space="preserve">or</w:t>
      </w:r>
      <w:r>
        <w:t>))</w:t>
      </w:r>
      <w:r>
        <w:rPr/>
        <w:t xml:space="preserve"> (ii) in a county that includes a campus of an institution of higher education, as defined in RCW 28B.92.030, where at least one thousand two hundred students live on campus during the academic year</w:t>
      </w:r>
      <w:r>
        <w:rPr>
          <w:u w:val="single"/>
        </w:rPr>
        <w:t xml:space="preserve">; or (iii) until July 1, 2024, in a county seeking to promote transit supportive densities and efficient land use in an area that is located within a designated urban growth area and within one-quarter of a mile of a corridor where bus service is scheduled at least every twenty minutes for no less than ten hours per weekday and is in service or is planned for service to begin within five years of designation</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 The governing authority may adopt and implement</w:t>
      </w:r>
      <w:r>
        <w:t>((</w:t>
      </w:r>
      <w:r>
        <w:rPr>
          <w:strike/>
        </w:rPr>
        <w:t xml:space="preserve">, either</w:t>
      </w:r>
      <w:r>
        <w:t>))</w:t>
      </w:r>
      <w:r>
        <w:rPr/>
        <w:t xml:space="preserve"> as conditions to </w:t>
      </w:r>
      <w:r>
        <w:t>((</w:t>
      </w:r>
      <w:r>
        <w:rPr>
          <w:strike/>
        </w:rPr>
        <w:t xml:space="preserve">eight-year exemptions or as conditions to an extended exemption period under RCW 84.14.020(1)(a)(ii)(B), or both,</w:t>
      </w:r>
      <w:r>
        <w:t>))</w:t>
      </w:r>
      <w:r>
        <w:rPr/>
        <w:t xml:space="preserve"> </w:t>
      </w:r>
      <w:r>
        <w:rPr>
          <w:u w:val="single"/>
        </w:rPr>
        <w:t xml:space="preserve">any exemption granted pursuant to RCW 84.14.020</w:t>
      </w:r>
      <w:r>
        <w:rPr/>
        <w:t xml:space="preserve"> more stringent income eligibility, rent, or sale price limits, including limits that apply to a higher percentage of units, than the minimum conditions for an extended exemption period under RCW 84.14.020(1)(a)(ii)(B).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(6) may be satisfied solely through housing affordable to moderate-income households.</w:t>
      </w:r>
    </w:p>
    <w:p>
      <w:pPr>
        <w:spacing w:before="0" w:after="0" w:line="408" w:lineRule="exact"/>
        <w:ind w:left="0" w:right="0" w:firstLine="576"/>
        <w:jc w:val="left"/>
      </w:pPr>
      <w:r>
        <w:rPr>
          <w:u w:val="single"/>
        </w:rPr>
        <w:t xml:space="preserve">(7) After designation of a residential targeted area, the governing authority must notify the county assessor's office of the county in which the residential targeted area is located and the department of commerce of the intention to offer the tax exemption provided under this chapter with a projected fiscal impact and potential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RCW 84.14.020;</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w:t>
      </w:r>
      <w:r>
        <w:rPr>
          <w:u w:val="single"/>
        </w:rPr>
        <w:t xml:space="preserve">, including jurisdiction-specific income and rent standards</w:t>
      </w:r>
      <w:r>
        <w:rPr/>
        <w:t xml:space="preserve">; </w:t>
      </w:r>
      <w:r>
        <w:t>((</w:t>
      </w:r>
      <w:r>
        <w:rPr>
          <w:strike/>
        </w:rPr>
        <w:t xml:space="preserve">and</w:t>
      </w:r>
      <w:r>
        <w:t>))</w:t>
      </w:r>
    </w:p>
    <w:p>
      <w:pPr>
        <w:spacing w:before="0" w:after="0" w:line="408" w:lineRule="exact"/>
        <w:ind w:left="0" w:right="0" w:firstLine="576"/>
        <w:jc w:val="left"/>
      </w:pPr>
      <w:r>
        <w:rPr/>
        <w:t xml:space="preserve">(e) The site is located in a residential targeted area of an urban center or urban growth area that has been designated by the governing authority in accordance with procedures and guidelines indicated in RCW 84.14.040</w:t>
      </w:r>
      <w:r>
        <w:rPr>
          <w:u w:val="single"/>
        </w:rPr>
        <w:t xml:space="preserve">; and</w:t>
      </w:r>
    </w:p>
    <w:p>
      <w:pPr>
        <w:spacing w:before="0" w:after="0" w:line="408" w:lineRule="exact"/>
        <w:ind w:left="0" w:right="0" w:firstLine="576"/>
        <w:jc w:val="left"/>
      </w:pPr>
      <w:r>
        <w:rPr>
          <w:u w:val="single"/>
        </w:rPr>
        <w:t xml:space="preserve">(f)(i) The city or county has conducted an analysis of the project's benefit to the public with and without a property tax exemption. Such an analysis must include, but not be limited to, an assessment of displacement of existing residents, gentrification of existing neighborhoods, and the project's contribution to the housing needs of the community.</w:t>
      </w:r>
    </w:p>
    <w:p>
      <w:pPr>
        <w:spacing w:before="0" w:after="0" w:line="408" w:lineRule="exact"/>
        <w:ind w:left="0" w:right="0" w:firstLine="576"/>
        <w:jc w:val="left"/>
      </w:pPr>
      <w:r>
        <w:rPr>
          <w:u w:val="single"/>
        </w:rPr>
        <w:t xml:space="preserve">(ii) For projects applying for the exemption under RCW 84.14.020(1)(a)(ii)(B), the analysis must additionally assess the proposed rent levels for income-restricted units at the time of issuance of the exemption compared to fair market rents in similar areas. If income-restricted rent levels do not result in rents lower than the fair market rent, the project may not receive an exemption under RCW 84.14.020(1)(a)(ii)(B), but may apply for an exemption under RCW 84.14.020(1)(a)(ii)(A)</w:t>
      </w:r>
      <w:r>
        <w:rPr/>
        <w:t xml:space="preserve">.</w:t>
      </w:r>
    </w:p>
    <w:p>
      <w:pPr>
        <w:spacing w:before="0" w:after="0" w:line="408" w:lineRule="exact"/>
        <w:ind w:left="0" w:right="0" w:firstLine="576"/>
        <w:jc w:val="left"/>
      </w:pPr>
      <w:r>
        <w:rPr/>
        <w:t xml:space="preserve">(2) </w:t>
      </w:r>
      <w:r>
        <w:rPr>
          <w:u w:val="single"/>
        </w:rPr>
        <w:t xml:space="preserve">For all newly exempted projects after July 1, 2020, with a specific rent-restricted affordable housing requirement pursuant to RCW 84.14.020, as a condition of approval of an application under this section, a local jurisdiction must enter into an agreement with the project applicant to provide at least one of the following to tenants occupying rent-restricted units:</w:t>
      </w:r>
    </w:p>
    <w:p>
      <w:pPr>
        <w:spacing w:before="0" w:after="0" w:line="408" w:lineRule="exact"/>
        <w:ind w:left="0" w:right="0" w:firstLine="576"/>
        <w:jc w:val="left"/>
      </w:pPr>
      <w:r>
        <w:rPr>
          <w:u w:val="single"/>
        </w:rPr>
        <w:t xml:space="preserve">(a) At the close of the exemption, a gradual monthly rent increase from the specified affordable rate to market rate over a period of months equivalent to the number of years that a tenant resided within a rent-restricted unit;</w:t>
      </w:r>
    </w:p>
    <w:p>
      <w:pPr>
        <w:spacing w:before="0" w:after="0" w:line="408" w:lineRule="exact"/>
        <w:ind w:left="0" w:right="0" w:firstLine="576"/>
        <w:jc w:val="left"/>
      </w:pPr>
      <w:r>
        <w:rPr>
          <w:u w:val="single"/>
        </w:rPr>
        <w:t xml:space="preserve">(b) Rental assistance for a period not to exceed one year, or until the tenant exits a given rent-restricted unit; or</w:t>
      </w:r>
    </w:p>
    <w:p>
      <w:pPr>
        <w:spacing w:before="0" w:after="0" w:line="408" w:lineRule="exact"/>
        <w:ind w:left="0" w:right="0" w:firstLine="576"/>
        <w:jc w:val="left"/>
      </w:pPr>
      <w:r>
        <w:rPr>
          <w:u w:val="single"/>
        </w:rPr>
        <w:t xml:space="preserve">(c) At the close of the exemption, relocation assistance including, but not limited to, advance payments required for moving into a new residence, and any application fees.</w:t>
      </w:r>
    </w:p>
    <w:p>
      <w:pPr>
        <w:spacing w:before="0" w:after="0" w:line="408" w:lineRule="exact"/>
        <w:ind w:left="0" w:right="0" w:firstLine="576"/>
        <w:jc w:val="left"/>
      </w:pPr>
      <w:r>
        <w:rPr>
          <w:u w:val="single"/>
        </w:rPr>
        <w:t xml:space="preserve">(3) By June 1, 2024, and every four years thereafter, a governing jurisdiction shall conduct a cumulative assessment of public benefit of all exemptions granted under this chapter. A governing jurisdiction shall evaluate whether its exemption program should be revised to address cumulative impacts to disadvantaged communities, and whether the program has resulted in additional housing opportunities or displacement of existing residents.</w:t>
      </w:r>
    </w:p>
    <w:p>
      <w:pPr>
        <w:spacing w:before="0" w:after="0" w:line="408" w:lineRule="exact"/>
        <w:ind w:left="0" w:right="0" w:firstLine="576"/>
        <w:jc w:val="left"/>
      </w:pPr>
      <w:r>
        <w:rPr>
          <w:u w:val="single"/>
        </w:rPr>
        <w:t xml:space="preserve">(4)</w:t>
      </w:r>
      <w:r>
        <w:rPr/>
        <w:t xml:space="preserve">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t>((</w:t>
      </w:r>
      <w:r>
        <w:rPr>
          <w:strike/>
        </w:rPr>
        <w:t xml:space="preserve">(3) An application may not be approved for a residential targeted area in a rural county on or after January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w:t>
      </w:r>
      <w:r>
        <w:t>((</w:t>
      </w:r>
      <w:r>
        <w:rPr>
          <w:strike/>
        </w:rPr>
        <w:t xml:space="preserve">December 31st of each</w:t>
      </w:r>
      <w:r>
        <w:t>))</w:t>
      </w:r>
      <w:r>
        <w:rPr/>
        <w:t xml:space="preserve"> </w:t>
      </w:r>
      <w:r>
        <w:rPr>
          <w:u w:val="single"/>
        </w:rPr>
        <w:t xml:space="preserve">June 30th of the following</w:t>
      </w:r>
      <w:r>
        <w:rPr/>
        <w:t xml:space="preserve"> year, beginning in </w:t>
      </w:r>
      <w:r>
        <w:t>((</w:t>
      </w:r>
      <w:r>
        <w:rPr>
          <w:strike/>
        </w:rPr>
        <w:t xml:space="preserve">2007</w:t>
      </w:r>
      <w:r>
        <w:t>))</w:t>
      </w:r>
      <w:r>
        <w:rPr/>
        <w:t xml:space="preserve"> </w:t>
      </w:r>
      <w:r>
        <w:rPr>
          <w:u w:val="single"/>
        </w:rPr>
        <w:t xml:space="preserve">2020</w:t>
      </w:r>
      <w:r>
        <w:rPr/>
        <w:t xml:space="preserve">,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w:t>
      </w:r>
      <w:r>
        <w:t>((</w:t>
      </w:r>
      <w:r>
        <w:rPr>
          <w:strike/>
        </w:rPr>
        <w:t xml:space="preserve">The</w:t>
      </w:r>
      <w:r>
        <w:t>))</w:t>
      </w:r>
      <w:r>
        <w:rPr/>
        <w:t xml:space="preserve"> </w:t>
      </w:r>
      <w:r>
        <w:rPr>
          <w:u w:val="single"/>
        </w:rPr>
        <w:t xml:space="preserve">For affordable units, the annual</w:t>
      </w:r>
      <w:r>
        <w:rPr/>
        <w:t xml:space="preserve"> income </w:t>
      </w:r>
      <w:r>
        <w:rPr>
          <w:u w:val="single"/>
        </w:rPr>
        <w:t xml:space="preserve">and household size</w:t>
      </w:r>
      <w:r>
        <w:rPr/>
        <w:t xml:space="preserve"> of each renter </w:t>
      </w:r>
      <w:r>
        <w:rPr>
          <w:u w:val="single"/>
        </w:rPr>
        <w:t xml:space="preserve">or owner</w:t>
      </w:r>
      <w:r>
        <w:rPr/>
        <w:t xml:space="preserve"> household </w:t>
      </w:r>
      <w:r>
        <w:t>((</w:t>
      </w:r>
      <w:r>
        <w:rPr>
          <w:strike/>
        </w:rPr>
        <w:t xml:space="preserve">at the time of initial occupancy and the income of each initial purchaser of owner-occupied units at the time of purchase</w:t>
      </w:r>
      <w:r>
        <w:t>))</w:t>
      </w:r>
      <w:r>
        <w:rPr/>
        <w:t xml:space="preserve"> for each of the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 By December 1, 2020, the department of commerce shall consult with affected stakeholders to review and consider revising the reporting required by this section. The department shall consider amending or providing additional guidance and forms to facilitate effective data collection, compilation, and reporting. The department shall consult participants on effective strategies to provide rental and relocation assistance via a statewide approach. The guidance must also address calculation of equivalent densities in residential targeted areas and methods for evaluating the public benefit pursuant to RCW 84.14.060(1)(f).</w:t>
      </w:r>
    </w:p>
    <w:p>
      <w:pPr>
        <w:spacing w:before="0" w:after="0" w:line="408" w:lineRule="exact"/>
        <w:ind w:left="0" w:right="0" w:firstLine="576"/>
        <w:jc w:val="left"/>
      </w:pPr>
      <w:r>
        <w:rPr>
          <w:u w:val="single"/>
        </w:rPr>
        <w:t xml:space="preserve">(4)(a) A city or county that fails to meet the reporting requirements of this section may not approve applications under RCW 84.14.070 in the calendar year following the year in which the city or county failed to meet the reporting requirements under this section.</w:t>
      </w:r>
    </w:p>
    <w:p>
      <w:pPr>
        <w:spacing w:before="0" w:after="0" w:line="408" w:lineRule="exact"/>
        <w:ind w:left="0" w:right="0" w:firstLine="576"/>
        <w:jc w:val="left"/>
      </w:pPr>
      <w:r>
        <w:rPr>
          <w:u w:val="single"/>
        </w:rPr>
        <w:t xml:space="preserve">(b) The department of commerce must notify the city or county, and the department of revenue, if the department of commerce determines that the city or county failed to meet the reporting requirements under this section.</w:t>
      </w:r>
    </w:p>
    <w:p>
      <w:pPr>
        <w:spacing w:before="0" w:after="0" w:line="408" w:lineRule="exact"/>
        <w:ind w:left="0" w:right="0" w:firstLine="576"/>
        <w:jc w:val="left"/>
      </w:pPr>
      <w:r>
        <w:rPr>
          <w:u w:val="single"/>
        </w:rPr>
        <w:t xml:space="preserve">(c) The department of commerce may provide in rule a mechanism whereby a city or county failing to meet the reporting requirements under this section is able to reestablish its eligibility to approve applications under RCW 84.14.070.</w:t>
      </w:r>
    </w:p>
    <w:p/>
    <w:p>
      <w:pPr>
        <w:jc w:val="center"/>
      </w:pPr>
      <w:r>
        <w:rPr>
          <w:b/>
        </w:rPr>
        <w:t>--- END ---</w:t>
      </w:r>
    </w:p>
    <w:sectPr>
      <w:pgNumType w:start="1"/>
      <w:footerReference xmlns:r="http://schemas.openxmlformats.org/officeDocument/2006/relationships" r:id="R41811444579744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91f1cf09da4c2c" /><Relationship Type="http://schemas.openxmlformats.org/officeDocument/2006/relationships/footer" Target="/word/footer1.xml" Id="R41811444579744c2" /></Relationships>
</file>