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004bf03eae48e2" /></Relationships>
</file>

<file path=word/document.xml><?xml version="1.0" encoding="utf-8"?>
<w:document xmlns:w="http://schemas.openxmlformats.org/wordprocessingml/2006/main">
  <w:body>
    <w:p>
      <w:r>
        <w:t>S-6056.1</w:t>
      </w:r>
    </w:p>
    <w:p>
      <w:pPr>
        <w:jc w:val="center"/>
      </w:pPr>
      <w:r>
        <w:t>_______________________________________________</w:t>
      </w:r>
    </w:p>
    <w:p/>
    <w:p>
      <w:pPr>
        <w:jc w:val="center"/>
      </w:pPr>
      <w:r>
        <w:rPr>
          <w:b/>
        </w:rPr>
        <w:t>SUBSTITUTE SENATE BILL 6392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Van De Wege, King, Walsh, Warnick, Rolfes, Honeyford, and Wilson, C.)</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local wine industry association license;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retail license to be designated as the local wine industry association license to be issued to a nonprofit society or organization specifically created with the express purpose of encouraging consumer education of and promoting the economic development for a designated area of the Washington state wine industry.</w:t>
      </w:r>
    </w:p>
    <w:p>
      <w:pPr>
        <w:spacing w:before="0" w:after="0" w:line="408" w:lineRule="exact"/>
        <w:ind w:left="0" w:right="0" w:firstLine="576"/>
        <w:jc w:val="left"/>
      </w:pPr>
      <w:r>
        <w:rPr/>
        <w:t xml:space="preserve">(2) The local wine industry association licensee may purchase or receive donations of wine from domestic winery licensees and certificate of approval holders and use such wine for promotional or marketing purposes. Events or marketing programs conducted by the local wine industry association licensee may be held on domestic winery premises, including the premises of additional locations authorized under RCW 66.24.170(4), as long as the domestic winery and the local wine industry association licensee each separately account for the sales of its wine. Domestic wineries and additional locations authorized under RCW 66.24.170(4) are not subject to the restrictions of RCW 66.28.305, but only while participating in an event or marketing program conducted by the holder of this license.</w:t>
      </w:r>
    </w:p>
    <w:p>
      <w:pPr>
        <w:spacing w:before="0" w:after="0" w:line="408" w:lineRule="exact"/>
        <w:ind w:left="0" w:right="0" w:firstLine="576"/>
        <w:jc w:val="left"/>
      </w:pPr>
      <w:r>
        <w:rPr/>
        <w:t xml:space="preserve">(3) The holder of the local wine industry association license must notify the board of any event or marketing program conducted under the license at least forty-five days before the event or start of the marketing program.</w:t>
      </w:r>
    </w:p>
    <w:p>
      <w:pPr>
        <w:spacing w:before="0" w:after="0" w:line="408" w:lineRule="exact"/>
        <w:ind w:left="0" w:right="0" w:firstLine="576"/>
        <w:jc w:val="left"/>
      </w:pPr>
      <w:r>
        <w:rPr/>
        <w:t xml:space="preserve">(4) The annual fee for the local wine industry association license is seven hundred dollars per calendar year.</w:t>
      </w:r>
    </w:p>
    <w:p>
      <w:pPr>
        <w:spacing w:before="0" w:after="0" w:line="408" w:lineRule="exact"/>
        <w:ind w:left="0" w:right="0" w:firstLine="576"/>
        <w:jc w:val="left"/>
      </w:pPr>
      <w:r>
        <w:rPr/>
        <w:t xml:space="preserve">(5) Nothing in this section prohibits the holder of the local wine industry association license access to the special occasion license under RCW 66.24.380 or special permits under RCW 66.20.010.</w:t>
      </w:r>
    </w:p>
    <w:p>
      <w:pPr>
        <w:spacing w:before="0" w:after="0" w:line="408" w:lineRule="exact"/>
        <w:ind w:left="0" w:right="0" w:firstLine="576"/>
        <w:jc w:val="left"/>
      </w:pPr>
      <w:r>
        <w:rPr/>
        <w:t xml:space="preserve">(6) Wine furnished to a nonprofit society under this section is subject to the taxes imposed under RCW 66.24.210.</w:t>
      </w:r>
    </w:p>
    <w:p>
      <w:pPr>
        <w:spacing w:before="0" w:after="0" w:line="408" w:lineRule="exact"/>
        <w:ind w:left="0" w:right="0" w:firstLine="576"/>
        <w:jc w:val="left"/>
      </w:pPr>
      <w:r>
        <w:rPr/>
        <w:t xml:space="preserve">(7) A licensee under this section may conduct no more than twelve events per year.</w:t>
      </w:r>
    </w:p>
    <w:p>
      <w:pPr>
        <w:spacing w:before="0" w:after="0" w:line="408" w:lineRule="exact"/>
        <w:ind w:left="0" w:right="0" w:firstLine="576"/>
        <w:jc w:val="left"/>
      </w:pPr>
      <w:r>
        <w:rPr/>
        <w:t xml:space="preserve">(8) All licensees participating in an event or marketing program conducted under a license issued under this section are jointly responsible for any violation or enforcement issues arising out of the event or marketing program unless it can be demonstrated that the violation or enforcement issue was due to one or more licensee's specific conduct or action, in which case the violation or enforcement issue applies only to those identified licensees.</w:t>
      </w:r>
    </w:p>
    <w:p/>
    <w:p>
      <w:pPr>
        <w:jc w:val="center"/>
      </w:pPr>
      <w:r>
        <w:rPr>
          <w:b/>
        </w:rPr>
        <w:t>--- END ---</w:t>
      </w:r>
    </w:p>
    <w:sectPr>
      <w:pgNumType w:start="1"/>
      <w:footerReference xmlns:r="http://schemas.openxmlformats.org/officeDocument/2006/relationships" r:id="Rfc76292be9004a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f7cfc44aa24f7f" /><Relationship Type="http://schemas.openxmlformats.org/officeDocument/2006/relationships/footer" Target="/word/footer1.xml" Id="Rfc76292be9004ad1" /></Relationships>
</file>