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c023826f6043b3" /></Relationships>
</file>

<file path=word/document.xml><?xml version="1.0" encoding="utf-8"?>
<w:document xmlns:w="http://schemas.openxmlformats.org/wordprocessingml/2006/main">
  <w:body>
    <w:p>
      <w:r>
        <w:t>S-5348.1</w:t>
      </w:r>
    </w:p>
    <w:p>
      <w:pPr>
        <w:jc w:val="center"/>
      </w:pPr>
      <w:r>
        <w:t>_______________________________________________</w:t>
      </w:r>
    </w:p>
    <w:p/>
    <w:p>
      <w:pPr>
        <w:jc w:val="center"/>
      </w:pPr>
      <w:r>
        <w:rPr>
          <w:b/>
        </w:rPr>
        <w:t>SENATE BILL 6388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fees for multifamily and single-family housing; and amending RCW 82.02.060.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w:t>
      </w:r>
      <w:r>
        <w:rPr>
          <w:u w:val="single"/>
        </w:rPr>
        <w:t xml:space="preserve">May not charge a higher per unit fee for multifamily residential construction than for single-family residential construction;</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and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
      <w:pPr>
        <w:jc w:val="center"/>
      </w:pPr>
      <w:r>
        <w:rPr>
          <w:b/>
        </w:rPr>
        <w:t>--- END ---</w:t>
      </w:r>
    </w:p>
    <w:sectPr>
      <w:pgNumType w:start="1"/>
      <w:footerReference xmlns:r="http://schemas.openxmlformats.org/officeDocument/2006/relationships" r:id="R184ad76377e946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45e5a7c477411a" /><Relationship Type="http://schemas.openxmlformats.org/officeDocument/2006/relationships/footer" Target="/word/footer1.xml" Id="R184ad76377e9466b" /></Relationships>
</file>