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e92e561e7c4033" /></Relationships>
</file>

<file path=word/document.xml><?xml version="1.0" encoding="utf-8"?>
<w:document xmlns:w="http://schemas.openxmlformats.org/wordprocessingml/2006/main">
  <w:body>
    <w:p>
      <w:r>
        <w:t>S-5265.2</w:t>
      </w:r>
    </w:p>
    <w:p>
      <w:pPr>
        <w:jc w:val="center"/>
      </w:pPr>
      <w:r>
        <w:t>_______________________________________________</w:t>
      </w:r>
    </w:p>
    <w:p/>
    <w:p>
      <w:pPr>
        <w:jc w:val="center"/>
      </w:pPr>
      <w:r>
        <w:rPr>
          <w:b/>
        </w:rPr>
        <w:t>SENATE BILL 6381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property tax; amending RCW 84.52.065 and 84.55.010;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2019 c 411 s 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w:t>
      </w:r>
      <w:r>
        <w:t>((</w:t>
      </w:r>
      <w:r>
        <w:rPr>
          <w:strike/>
        </w:rPr>
        <w:t xml:space="preserve">(a)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strike/>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strike/>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strike/>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strike/>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strike/>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strike/>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strike/>
        </w:rPr>
        <w:t xml:space="preserve">(5)</w:t>
      </w:r>
      <w:r>
        <w:t>))</w:t>
      </w:r>
      <w:r>
        <w:rPr/>
        <w:t xml:space="preserve"> For property taxes levied for collection in calendar year</w:t>
      </w:r>
      <w:r>
        <w:t>((</w:t>
      </w:r>
      <w:r>
        <w:rPr>
          <w:strike/>
        </w:rPr>
        <w:t xml:space="preserve">s 2019 through</w:t>
      </w:r>
      <w:r>
        <w:t>))</w:t>
      </w:r>
      <w:r>
        <w:rPr/>
        <w:t xml:space="preserve"> 2021, the rate of tax levied under subsection (1) of this section is </w:t>
      </w:r>
      <w:r>
        <w:t>((</w:t>
      </w:r>
      <w:r>
        <w:rPr>
          <w:strike/>
        </w:rPr>
        <w:t xml:space="preserve">the actual rate that was levied for collection in calendar year 2018 under subsection (1) of this section</w:t>
      </w:r>
      <w:r>
        <w:t>))</w:t>
      </w:r>
      <w:r>
        <w:rPr/>
        <w:t xml:space="preserve"> </w:t>
      </w:r>
      <w:r>
        <w:rPr>
          <w:u w:val="single"/>
        </w:rPr>
        <w:t xml:space="preserve">one dollar and seventy cents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and</w:t>
      </w:r>
    </w:p>
    <w:p>
      <w:pPr>
        <w:spacing w:before="0" w:after="0" w:line="408" w:lineRule="exact"/>
        <w:ind w:left="0" w:right="0" w:firstLine="576"/>
        <w:jc w:val="left"/>
      </w:pPr>
      <w:r>
        <w:rPr/>
        <w:t xml:space="preserve">(d) Any increase in the assessed value of state-assessed property.</w:t>
      </w:r>
    </w:p>
    <w:p>
      <w:pPr>
        <w:spacing w:before="0" w:after="0" w:line="408" w:lineRule="exact"/>
        <w:ind w:left="0" w:right="0" w:firstLine="576"/>
        <w:jc w:val="left"/>
      </w:pPr>
      <w:r>
        <w:rPr/>
        <w:t xml:space="preserve">(2) The requirements of this section do not apply to</w:t>
      </w:r>
      <w:r>
        <w:t>((</w:t>
      </w:r>
      <w:r>
        <w:rPr>
          <w:strike/>
        </w:rPr>
        <w:t xml:space="preserve">:</w:t>
      </w:r>
    </w:p>
    <w:p>
      <w:pPr>
        <w:spacing w:before="0" w:after="0" w:line="408" w:lineRule="exact"/>
        <w:ind w:left="0" w:right="0" w:firstLine="576"/>
        <w:jc w:val="left"/>
      </w:pPr>
      <w:r>
        <w:rPr>
          <w:strike/>
        </w:rPr>
        <w:t xml:space="preserve">(a) State</w:t>
      </w:r>
      <w:r>
        <w:t>))</w:t>
      </w:r>
      <w:r>
        <w:rPr/>
        <w:t xml:space="preserve"> </w:t>
      </w:r>
      <w:r>
        <w:rPr>
          <w:u w:val="single"/>
        </w:rPr>
        <w:t xml:space="preserve">the state</w:t>
      </w:r>
      <w:r>
        <w:rPr/>
        <w:t xml:space="preserve"> property </w:t>
      </w:r>
      <w:r>
        <w:t>((</w:t>
      </w:r>
      <w:r>
        <w:rPr>
          <w:strike/>
        </w:rPr>
        <w:t xml:space="preserve">taxes</w:t>
      </w:r>
      <w:r>
        <w:t>))</w:t>
      </w:r>
      <w:r>
        <w:rPr/>
        <w:t xml:space="preserve"> </w:t>
      </w:r>
      <w:r>
        <w:rPr>
          <w:u w:val="single"/>
        </w:rPr>
        <w:t xml:space="preserve">tax</w:t>
      </w:r>
      <w:r>
        <w:rPr/>
        <w:t xml:space="preserve"> levied under RCW 84.52.065(1) for collection in calendar year</w:t>
      </w:r>
      <w:r>
        <w:t>((</w:t>
      </w:r>
      <w:r>
        <w:rPr>
          <w:strike/>
        </w:rPr>
        <w:t xml:space="preserve">s 2019 through</w:t>
      </w:r>
      <w:r>
        <w:t>))</w:t>
      </w:r>
      <w:r>
        <w:rPr/>
        <w:t xml:space="preserve"> 2021</w:t>
      </w:r>
      <w:r>
        <w:t>((</w:t>
      </w:r>
      <w:r>
        <w:rPr>
          <w:strike/>
        </w:rPr>
        <w:t xml:space="preserve">; and</w:t>
      </w:r>
    </w:p>
    <w:p>
      <w:pPr>
        <w:spacing w:before="0" w:after="0" w:line="408" w:lineRule="exact"/>
        <w:ind w:left="0" w:right="0" w:firstLine="576"/>
        <w:jc w:val="left"/>
      </w:pPr>
      <w:r>
        <w:rPr>
          <w:strike/>
        </w:rPr>
        <w:t xml:space="preserve">(b) State property taxes levied under RCW 84.52.065(2) for collection in calendar years 2018 through 2021</w:t>
      </w:r>
      <w:r>
        <w:t>))</w:t>
      </w:r>
      <w:r>
        <w:rPr/>
        <w:t xml:space="preserve">.</w:t>
      </w:r>
    </w:p>
    <w:p>
      <w:pPr>
        <w:spacing w:before="0" w:after="0" w:line="408" w:lineRule="exact"/>
        <w:ind w:left="0" w:right="0" w:firstLine="576"/>
        <w:jc w:val="left"/>
      </w:pPr>
      <w:r>
        <w:rPr>
          <w:u w:val="single"/>
        </w:rPr>
        <w:t xml:space="preserve">(3) For state property taxes levied in calendar years 2022 and 2023, the calculation under subsection (1) of this section must be determined by using the amount of property taxes lawfully levied for the state in the prior year in lieu of the highest amount of the three most recent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2021 and thereafter.</w:t>
      </w:r>
    </w:p>
    <w:p/>
    <w:p>
      <w:pPr>
        <w:jc w:val="center"/>
      </w:pPr>
      <w:r>
        <w:rPr>
          <w:b/>
        </w:rPr>
        <w:t>--- END ---</w:t>
      </w:r>
    </w:p>
    <w:sectPr>
      <w:pgNumType w:start="1"/>
      <w:footerReference xmlns:r="http://schemas.openxmlformats.org/officeDocument/2006/relationships" r:id="R77d2517a14e14b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a92923b65492b" /><Relationship Type="http://schemas.openxmlformats.org/officeDocument/2006/relationships/footer" Target="/word/footer1.xml" Id="R77d2517a14e14b94" /></Relationships>
</file>