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c4e3f03e84a03" /></Relationships>
</file>

<file path=word/document.xml><?xml version="1.0" encoding="utf-8"?>
<w:document xmlns:w="http://schemas.openxmlformats.org/wordprocessingml/2006/main">
  <w:body>
    <w:p>
      <w:r>
        <w:t>S-5041.2</w:t>
      </w:r>
    </w:p>
    <w:p>
      <w:pPr>
        <w:jc w:val="center"/>
      </w:pPr>
      <w:r>
        <w:t>_______________________________________________</w:t>
      </w:r>
    </w:p>
    <w:p/>
    <w:p>
      <w:pPr>
        <w:jc w:val="center"/>
      </w:pPr>
      <w:r>
        <w:rPr>
          <w:b/>
        </w:rPr>
        <w:t>SENATE BILL 6354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King, Cleveland, Keiser, and Honeyford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enhanced payment to low volume, small rural hospitals; amending RCW 74.09.5225;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promoting a financially viable health care system in all parts of the state is a critical interest. The federal centers for medicare and medicaid services has recognized the crucial role hospitals play in providing care in rural areas by creating the sole community hospital program, which allows certain small rural hospitals to receive enhanced payments for medicare services. The state of Washington has created a similar program based on the federal criteria. The legislature further finds that some small, rural, low volume hospitals provide vital services to the communities they serve, but are not eligible for the federal or state programs. The legislature therefore finds that creating a similar reimbursement system for the state's medicaid program for small, rural, low volume hospitals will promote the long-term financial viability of the rural health care system in those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2017 c 198 s 1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unless the critical access hospital is participating in the Washington rural health access preservation pilot described in subsection (2)(b) of this section.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t xml:space="preserve">(ii)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(iii)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w:t>
      </w:r>
    </w:p>
    <w:p>
      <w:pPr>
        <w:spacing w:before="0" w:after="0" w:line="408" w:lineRule="exact"/>
        <w:ind w:left="0" w:right="0" w:firstLine="576"/>
        <w:jc w:val="left"/>
      </w:pPr>
      <w:r>
        <w:rPr/>
        <w:t xml:space="preserve">(D) 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t xml:space="preserve">(E)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 and</w:t>
      </w:r>
    </w:p>
    <w:p>
      <w:pPr>
        <w:spacing w:before="0" w:after="0" w:line="408" w:lineRule="exact"/>
        <w:ind w:left="0" w:right="0" w:firstLine="576"/>
        <w:jc w:val="left"/>
      </w:pPr>
      <w:r>
        <w:rPr/>
        <w:t xml:space="preserve">(F) Funds appropriated for the Washington rural health access preservation pilot will be used to help participating hospitals transition to a new payment methodology and will not extend beyond the anticipated three-year pilot period.</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0" w:after="0" w:line="408" w:lineRule="exact"/>
        <w:ind w:left="0" w:right="0" w:firstLine="576"/>
        <w:jc w:val="left"/>
      </w:pPr>
      <w:r>
        <w:rPr>
          <w:u w:val="single"/>
        </w:rPr>
        <w:t xml:space="preserve">(4) Beginning July 1, 2020, payments for recipients eligible for medical assistance programs under this chapter for services provided by a hospital, regardless of the beneficiary's managed care enrollment status, shall be increased to one hundred fifty percent of the hospital's fee-for-service rates, when services are provided by a hospital that:</w:t>
      </w:r>
    </w:p>
    <w:p>
      <w:pPr>
        <w:spacing w:before="0" w:after="0" w:line="408" w:lineRule="exact"/>
        <w:ind w:left="0" w:right="0" w:firstLine="576"/>
        <w:jc w:val="left"/>
      </w:pPr>
      <w:r>
        <w:rPr>
          <w:u w:val="single"/>
        </w:rPr>
        <w:t xml:space="preserve">(a) Has less than seventy available acute care beds as reported in the hospital's 2018 department of health year-end report;</w:t>
      </w:r>
    </w:p>
    <w:p>
      <w:pPr>
        <w:spacing w:before="0" w:after="0" w:line="408" w:lineRule="exact"/>
        <w:ind w:left="0" w:right="0" w:firstLine="576"/>
        <w:jc w:val="left"/>
      </w:pPr>
      <w:r>
        <w:rPr>
          <w:u w:val="single"/>
        </w:rPr>
        <w:t xml:space="preserve">(b) Is not currently designated as a critical access hospital, and does not meet current federal eligibility requirements for designation as a critical access hospital; and</w:t>
      </w:r>
    </w:p>
    <w:p>
      <w:pPr>
        <w:spacing w:before="0" w:after="0" w:line="408" w:lineRule="exact"/>
        <w:ind w:left="0" w:right="0" w:firstLine="576"/>
        <w:jc w:val="left"/>
      </w:pPr>
      <w:r>
        <w:rPr>
          <w:u w:val="single"/>
        </w:rPr>
        <w:t xml:space="preserve">(c) Has combined medicare and medicaid inpatient days greater than eighty percent as reported in the hospital's 2018 cost report.</w:t>
      </w:r>
    </w:p>
    <w:p/>
    <w:p>
      <w:pPr>
        <w:jc w:val="center"/>
      </w:pPr>
      <w:r>
        <w:rPr>
          <w:b/>
        </w:rPr>
        <w:t>--- END ---</w:t>
      </w:r>
    </w:p>
    <w:sectPr>
      <w:pgNumType w:start="1"/>
      <w:footerReference xmlns:r="http://schemas.openxmlformats.org/officeDocument/2006/relationships" r:id="R5504dff5f0034b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5b4cdda3443b8" /><Relationship Type="http://schemas.openxmlformats.org/officeDocument/2006/relationships/footer" Target="/word/footer1.xml" Id="R5504dff5f0034ba9" /></Relationships>
</file>