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048d6047347e7" /></Relationships>
</file>

<file path=word/document.xml><?xml version="1.0" encoding="utf-8"?>
<w:document xmlns:w="http://schemas.openxmlformats.org/wordprocessingml/2006/main">
  <w:body>
    <w:p>
      <w:r>
        <w:t>S-5166.1</w:t>
      </w:r>
    </w:p>
    <w:p>
      <w:pPr>
        <w:jc w:val="center"/>
      </w:pPr>
      <w:r>
        <w:t>_______________________________________________</w:t>
      </w:r>
    </w:p>
    <w:p/>
    <w:p>
      <w:pPr>
        <w:jc w:val="center"/>
      </w:pPr>
      <w:r>
        <w:rPr>
          <w:b/>
        </w:rPr>
        <w:t>SENATE BILL 6278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Carlyle, Braun, Van De Wege, Rolfes, Nguyen, Saldaña, Das, Billig, and Hasegawa</w:t>
      </w:r>
    </w:p>
    <w:p/>
    <w:p>
      <w:r>
        <w:rPr>
          <w:t xml:space="preserve">Read first time 01/14/20.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withdrawals for commercial bottled water production; and amending RCW 90.03.290.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290</w:t>
      </w:r>
      <w:r>
        <w:rPr/>
        <w:t xml:space="preserve"> and 2018 c 1 s 303 are each amended to read as follows:</w:t>
      </w:r>
    </w:p>
    <w:p>
      <w:pPr>
        <w:spacing w:before="0" w:after="0" w:line="408" w:lineRule="exact"/>
        <w:ind w:left="0" w:right="0" w:firstLine="576"/>
        <w:jc w:val="left"/>
      </w:pPr>
      <w:r>
        <w:rPr/>
        <w:t xml:space="preserve">(1)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pPr>
        <w:spacing w:before="0" w:after="0" w:line="408" w:lineRule="exact"/>
        <w:ind w:left="0" w:right="0" w:firstLine="576"/>
        <w:jc w:val="left"/>
      </w:pPr>
      <w:r>
        <w:rPr/>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pPr>
        <w:spacing w:before="0" w:after="0" w:line="408" w:lineRule="exact"/>
        <w:ind w:left="0" w:right="0" w:firstLine="576"/>
        <w:jc w:val="left"/>
      </w:pPr>
      <w:r>
        <w:rPr/>
        <w:t xml:space="preserve">(b)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pPr>
        <w:spacing w:before="0" w:after="0" w:line="408" w:lineRule="exact"/>
        <w:ind w:left="0" w:right="0" w:firstLine="576"/>
        <w:jc w:val="left"/>
      </w:pPr>
      <w:r>
        <w:rPr/>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pPr>
        <w:spacing w:before="0" w:after="0" w:line="408" w:lineRule="exact"/>
        <w:ind w:left="0" w:right="0" w:firstLine="576"/>
        <w:jc w:val="left"/>
      </w:pPr>
      <w:r>
        <w:rPr/>
        <w:t xml:space="preserve">(4)</w:t>
      </w:r>
      <w:r>
        <w:rPr>
          <w:u w:val="single"/>
        </w:rPr>
        <w:t xml:space="preserve">(a) For the purposes of this section, any use of water for the commercial production of bottled water is deemed to be detrimental to the public welfare and the public interest.</w:t>
      </w:r>
    </w:p>
    <w:p>
      <w:pPr>
        <w:spacing w:before="0" w:after="0" w:line="408" w:lineRule="exact"/>
        <w:ind w:left="0" w:right="0" w:firstLine="576"/>
        <w:jc w:val="left"/>
      </w:pPr>
      <w:r>
        <w:rPr>
          <w:u w:val="single"/>
        </w:rPr>
        <w:t xml:space="preserve">(b) For the purposes of this subsection, "bottled water" includes all water that is labeled or marketed for sale as "water" in containers including, but not limited to, plastic bottles, glass bottles, jugs, or similar containers. "Bottled water" also includes the category of bottled waters known as "enhanced waters," but does not include any other product made from water that is not marketed as "water." This limitation does not apply if there is a public health emergency and bottled water is needed because of a public water system's inability to provide water service to its customers.</w:t>
      </w:r>
    </w:p>
    <w:p>
      <w:pPr>
        <w:spacing w:before="0" w:after="0" w:line="408" w:lineRule="exact"/>
        <w:ind w:left="0" w:right="0" w:firstLine="576"/>
        <w:jc w:val="left"/>
      </w:pPr>
      <w:r>
        <w:rPr>
          <w:u w:val="single"/>
        </w:rPr>
        <w:t xml:space="preserve">(5)</w:t>
      </w:r>
      <w:r>
        <w:rPr/>
        <w:t xml:space="preserve">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 PROVIDED FURTHER, That in the event a permit is issued by the department upon any application, it shall be its duty to notify the director of fish and wildlife of such issuance.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requirements of subsections (1) and (3) of this section do not apply to water resource mitigation pilot projects for which permits are issued in reliance upon water resource mitigation of impacts to instream flows and closed surface water bodies under RCW 90.94.090.</w:t>
      </w:r>
    </w:p>
    <w:p/>
    <w:p>
      <w:pPr>
        <w:jc w:val="center"/>
      </w:pPr>
      <w:r>
        <w:rPr>
          <w:b/>
        </w:rPr>
        <w:t>--- END ---</w:t>
      </w:r>
    </w:p>
    <w:sectPr>
      <w:pgNumType w:start="1"/>
      <w:footerReference xmlns:r="http://schemas.openxmlformats.org/officeDocument/2006/relationships" r:id="R1930b35097d245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89677abe8b48d6" /><Relationship Type="http://schemas.openxmlformats.org/officeDocument/2006/relationships/footer" Target="/word/footer1.xml" Id="R1930b35097d24580" /></Relationships>
</file>