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de0cfd19d4174" /></Relationships>
</file>

<file path=word/document.xml><?xml version="1.0" encoding="utf-8"?>
<w:document xmlns:w="http://schemas.openxmlformats.org/wordprocessingml/2006/main">
  <w:body>
    <w:p>
      <w:r>
        <w:t>S-5201.1</w:t>
      </w:r>
    </w:p>
    <w:p>
      <w:pPr>
        <w:jc w:val="center"/>
      </w:pPr>
      <w:r>
        <w:t>_______________________________________________</w:t>
      </w:r>
    </w:p>
    <w:p/>
    <w:p>
      <w:pPr>
        <w:jc w:val="center"/>
      </w:pPr>
      <w:r>
        <w:rPr>
          <w:b/>
        </w:rPr>
        <w:t>SENATE BILL 6271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Das, Nguyen, Kuderer, Lovelett, Saldaña, Hasegawa, Keiser, Wilson, C., Stanford, Van De Wege, Darneille, and Hunt</w:t>
      </w:r>
    </w:p>
    <w:p/>
    <w:p>
      <w:r>
        <w:rPr>
          <w:t xml:space="preserve">Read first time 01/14/20.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closure notice period for manufactured/mobile home communities; amending RCW 59.20.060, 59.20.073, 59.20.080, and 59.21.030;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(2)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(3) Manufactured/mobile home tenants have a reasonable expectation of long-term security when they move their home into a community or park. Some tenants have been forced to relocate due to a closure or conversion soon after the tenant has moved into the community or park. The legislature finds that unless a park owner sells the park to resident homeowners or another entity with the purpose of preservation or justly compensates the homeowners for the loss of their homes, a minimum notification period of three years before the closure or conversion of a community or park is a reasonable balancing of the rights and interests of both community and park owners and the manufactured/mobile home owners.</w:t>
      </w:r>
    </w:p>
    <w:p>
      <w:pPr>
        <w:spacing w:before="0" w:after="0" w:line="408" w:lineRule="exact"/>
        <w:ind w:left="0" w:right="0" w:firstLine="576"/>
        <w:jc w:val="left"/>
      </w:pPr>
      <w:r>
        <w:rPr/>
        <w:t xml:space="preserve">(4) Given the effort and expense involved in moving a manufactured/mobile home and the imbalance of economic power in this type of landlord-tenant relationship, it is the intent of the legislature to provide an opportunity for manufactured/mobile home tenants to remain in manufactured housing communities and mobile home parks for at least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2019 c 390 s 17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 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fifteen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w:t>
      </w:r>
      <w:r>
        <w:rPr>
          <w:u w:val="single"/>
        </w:rPr>
        <w:t xml:space="preserve">any closure notice as required in RCW 59.20.080, if such notice is in effect,</w:t>
      </w:r>
      <w:r>
        <w:rPr/>
        <w:t xml:space="preserve">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fourteen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three-year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t xml:space="preserve">(iii) The landlord </w:t>
      </w:r>
      <w:r>
        <w:t>((</w:t>
      </w:r>
      <w:r>
        <w:rPr>
          <w:strike/>
        </w:rPr>
        <w:t xml:space="preserve">compensates</w:t>
      </w:r>
      <w:r>
        <w:t>))</w:t>
      </w:r>
      <w:r>
        <w:rPr/>
        <w:t xml:space="preserve"> </w:t>
      </w:r>
      <w:r>
        <w:rPr>
          <w:u w:val="single"/>
        </w:rPr>
        <w:t xml:space="preserve">establishes a simple, straightforward, and timely process for compensating</w:t>
      </w:r>
      <w:r>
        <w:rPr/>
        <w:t xml:space="preserve"> the tenants for the loss of their homes </w:t>
      </w:r>
      <w:r>
        <w:rPr>
          <w:u w:val="single"/>
        </w:rPr>
        <w:t xml:space="preserve">and actually compensates the tenants for the loss of their homes</w:t>
      </w:r>
      <w:r>
        <w:rPr/>
        <w:t xml:space="preserve"> at </w:t>
      </w:r>
      <w:r>
        <w:rPr>
          <w:u w:val="single"/>
        </w:rPr>
        <w:t xml:space="preserve">the greater of</w:t>
      </w:r>
      <w:r>
        <w:rPr/>
        <w:t xml:space="preserve"> their </w:t>
      </w:r>
      <w:r>
        <w:t>((</w:t>
      </w:r>
      <w:r>
        <w:rPr>
          <w:strike/>
        </w:rPr>
        <w:t xml:space="preserve">assessed</w:t>
      </w:r>
      <w:r>
        <w:t>))</w:t>
      </w:r>
      <w:r>
        <w:rPr/>
        <w:t xml:space="preserve"> </w:t>
      </w:r>
      <w:r>
        <w:rPr>
          <w:u w:val="single"/>
        </w:rPr>
        <w:t xml:space="preserve">market</w:t>
      </w:r>
      <w:r>
        <w:rPr/>
        <w:t xml:space="preserve"> value, as determined </w:t>
      </w:r>
      <w:r>
        <w:t>((</w:t>
      </w:r>
      <w:r>
        <w:rPr>
          <w:strike/>
        </w:rPr>
        <w:t xml:space="preserve">by the county assessor as of the date the closure notice is issued</w:t>
      </w:r>
      <w:r>
        <w:t>))</w:t>
      </w:r>
      <w:r>
        <w:rPr/>
        <w:t xml:space="preserve"> </w:t>
      </w:r>
      <w:r>
        <w:rPr>
          <w:u w:val="single"/>
        </w:rPr>
        <w:t xml:space="preserve">prior to a change of use or sale of the property, or five thousand dollars</w:t>
      </w:r>
      <w:r>
        <w:rPr/>
        <w:t xml:space="preserve">, at any point during the closure notice period and prior to a change of use or sale of the property. At such time as the compensation is paid, the tenant shall be given written notice of at least </w:t>
      </w:r>
      <w:r>
        <w:t>((</w:t>
      </w:r>
      <w:r>
        <w:rPr>
          <w:strike/>
        </w:rPr>
        <w:t xml:space="preserve">ninety</w:t>
      </w:r>
      <w:r>
        <w:t>))</w:t>
      </w:r>
      <w:r>
        <w:rPr/>
        <w:t xml:space="preserve"> </w:t>
      </w:r>
      <w:r>
        <w:rPr>
          <w:u w:val="single"/>
        </w:rPr>
        <w:t xml:space="preserve">one hundred eighty</w:t>
      </w:r>
      <w:r>
        <w:rPr/>
        <w:t xml:space="preserve"> days in which to vacate, and the tenant shall continue to pay rent for as much time as he or she remains in the mobile home park or manufactured housing community</w:t>
      </w:r>
      <w:r>
        <w:rPr>
          <w:u w:val="single"/>
        </w:rPr>
        <w:t xml:space="preserve">. Nothing in this subsection (1)(e)(iii)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twenty-day notices, each of which was valid under (a) of this subsection at the time of service, within a twelve-month period to comply or vacate for failure to comply with the material terms of the rental agreement or an enforceable park rule, other than failure to pay rent by the due date.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fourteen-day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one hundred twenty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2019 c 342 s 10 are each amended to read as follows:</w:t>
      </w:r>
    </w:p>
    <w:p>
      <w:pPr>
        <w:spacing w:before="0" w:after="0" w:line="408" w:lineRule="exact"/>
        <w:ind w:left="0" w:right="0" w:firstLine="576"/>
        <w:jc w:val="left"/>
      </w:pPr>
      <w:r>
        <w:rPr/>
        <w:t xml:space="preserve">(1) The closure notice required by RCW 59.20.080 before park closure or conversion of the park shall be given to the director and all tenants in writing, and conspicuously posted at all park entrances.</w:t>
      </w:r>
    </w:p>
    <w:p>
      <w:pPr>
        <w:spacing w:before="0" w:after="0" w:line="408" w:lineRule="exact"/>
        <w:ind w:left="0" w:right="0" w:firstLine="576"/>
        <w:jc w:val="left"/>
      </w:pPr>
      <w:r>
        <w:rPr/>
        <w:t xml:space="preserve">(2) The closure notice required under RCW 59.20.080 must be in substantially the following form:</w:t>
      </w:r>
    </w:p>
    <w:p>
      <w:pPr>
        <w:spacing w:before="0" w:after="0" w:line="408" w:lineRule="exact"/>
        <w:ind w:left="0" w:right="0" w:firstLine="0"/>
        <w:jc w:val="center"/>
      </w:pPr>
      <w:r>
        <w:rPr/>
        <w:t xml:space="preserve">"CLOSURE NOTICE TO TENANTS</w:t>
      </w:r>
    </w:p>
    <w:p>
      <w:pPr>
        <w:spacing w:before="0" w:after="0" w:line="408" w:lineRule="exact"/>
        <w:ind w:left="0" w:right="0" w:firstLine="576"/>
        <w:jc w:val="left"/>
      </w:pPr>
      <w:r>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w:t>
      </w:r>
      <w:r>
        <w:t>((</w:t>
      </w:r>
      <w:r>
        <w:rPr>
          <w:strike/>
        </w:rPr>
        <w:t xml:space="preserve">twelve months</w:t>
      </w:r>
      <w:r>
        <w:t>))</w:t>
      </w:r>
      <w:r>
        <w:rPr/>
        <w:t xml:space="preserve"> </w:t>
      </w:r>
      <w:r>
        <w:rPr>
          <w:u w:val="single"/>
        </w:rPr>
        <w:t xml:space="preserve">three years</w:t>
      </w:r>
      <w:r>
        <w:rPr/>
        <w:t xml:space="preserve"> after the date this closure notice is given.</w:t>
      </w:r>
    </w:p>
    <w:p>
      <w:pPr>
        <w:spacing w:before="0" w:after="0" w:line="408" w:lineRule="exact"/>
        <w:ind w:left="0" w:right="0" w:firstLine="0"/>
        <w:jc w:val="left"/>
      </w:pPr>
      <w:r>
        <w:rPr/>
        <w:t xml:space="preserve">PARK OR COMMUNITY MANAGEMENT OR OWNERSHIP INFORMATION:</w:t>
      </w:r>
    </w:p>
    <w:p>
      <w:pPr>
        <w:spacing w:before="0" w:after="0" w:line="408" w:lineRule="exact"/>
        <w:ind w:left="0" w:right="0" w:firstLine="576"/>
        <w:jc w:val="left"/>
      </w:pPr>
      <w:r>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PURCHASER INFORMATION, if applicable:</w:t>
      </w:r>
    </w:p>
    <w:p>
      <w:pPr>
        <w:spacing w:before="0" w:after="0" w:line="408" w:lineRule="exact"/>
        <w:ind w:left="0" w:right="0" w:firstLine="576"/>
        <w:jc w:val="left"/>
      </w:pPr>
      <w:r>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PARK PURCHASE BY TENANT ORGANIZATIONS, if applicable:</w:t>
      </w:r>
    </w:p>
    <w:p>
      <w:pPr>
        <w:spacing w:before="0" w:after="0" w:line="408" w:lineRule="exact"/>
        <w:ind w:left="0" w:right="0" w:firstLine="576"/>
        <w:jc w:val="left"/>
      </w:pPr>
      <w:r>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t xml:space="preserve">RELOCATION ASSISTANCE RESOURCES:</w:t>
      </w:r>
    </w:p>
    <w:p>
      <w:pPr>
        <w:spacing w:before="0" w:after="0" w:line="408" w:lineRule="exact"/>
        <w:ind w:left="0" w:right="0" w:firstLine="576"/>
        <w:jc w:val="left"/>
      </w:pPr>
      <w:r>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t xml:space="preserve">(3) The closure notice required by RCW 59.20.080 must also meet the following requirements:</w:t>
      </w:r>
    </w:p>
    <w:p>
      <w:pPr>
        <w:spacing w:before="0" w:after="0" w:line="408" w:lineRule="exact"/>
        <w:ind w:left="0" w:right="0" w:firstLine="576"/>
        <w:jc w:val="left"/>
      </w:pPr>
      <w:r>
        <w:rPr/>
        <w:t xml:space="preserve">(a) A copy of the closure notice must be provided with all rental agreements signed after the original park closure notice date as required under RCW 59.20.060;</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rPr/>
        <w:t xml:space="preserve">(4) The department must mail every tenant an application and information on relocation assistance within ten business days of receipt of the notice required in subsection (1) of this section.</w:t>
      </w:r>
    </w:p>
    <w:p/>
    <w:p>
      <w:pPr>
        <w:jc w:val="center"/>
      </w:pPr>
      <w:r>
        <w:rPr>
          <w:b/>
        </w:rPr>
        <w:t>--- END ---</w:t>
      </w:r>
    </w:p>
    <w:sectPr>
      <w:pgNumType w:start="1"/>
      <w:footerReference xmlns:r="http://schemas.openxmlformats.org/officeDocument/2006/relationships" r:id="R9ce5d504477549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14a5609e984ac9" /><Relationship Type="http://schemas.openxmlformats.org/officeDocument/2006/relationships/footer" Target="/word/footer1.xml" Id="R9ce5d504477549f6" /></Relationships>
</file>