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5152434ce4433" /></Relationships>
</file>

<file path=word/document.xml><?xml version="1.0" encoding="utf-8"?>
<w:document xmlns:w="http://schemas.openxmlformats.org/wordprocessingml/2006/main">
  <w:body>
    <w:p>
      <w:r>
        <w:t>S-5290.1</w:t>
      </w:r>
    </w:p>
    <w:p>
      <w:pPr>
        <w:jc w:val="center"/>
      </w:pPr>
      <w:r>
        <w:t>_______________________________________________</w:t>
      </w:r>
    </w:p>
    <w:p/>
    <w:p>
      <w:pPr>
        <w:jc w:val="center"/>
      </w:pPr>
      <w:r>
        <w:rPr>
          <w:b/>
        </w:rPr>
        <w:t>SENATE BILL 6269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Stanford, Rivers, Mullet, Wilson, C., Das, and King</w:t>
      </w:r>
    </w:p>
    <w:p/>
    <w:p>
      <w:r>
        <w:rPr>
          <w:t xml:space="preserve">Read first time 01/14/20.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marijuana retailers to sell cannabidiol products; amending RCW 69.50.348 and 69.50.348; reenacting and amending RCW 69.50.357;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u w:val="single"/>
        </w:rPr>
        <w:t xml:space="preserve">:</w:t>
      </w:r>
    </w:p>
    <w:p>
      <w:pPr>
        <w:spacing w:before="0" w:after="0" w:line="408" w:lineRule="exact"/>
        <w:ind w:left="0" w:right="0" w:firstLine="576"/>
        <w:jc w:val="left"/>
      </w:pPr>
      <w:r>
        <w:rPr>
          <w:u w:val="single"/>
        </w:rPr>
        <w:t xml:space="preserve">(i) Marijuana</w:t>
      </w:r>
      <w:r>
        <w:rPr/>
        <w:t xml:space="preserve"> concentrates</w:t>
      </w:r>
      <w:r>
        <w:t>((</w:t>
      </w:r>
      <w:r>
        <w:rPr>
          <w:strike/>
        </w:rPr>
        <w:t xml:space="preserve">, useable</w:t>
      </w:r>
      <w:r>
        <w:t>))</w:t>
      </w:r>
      <w:r>
        <w:rPr>
          <w:u w:val="single"/>
        </w:rPr>
        <w:t xml:space="preserve">;</w:t>
      </w:r>
    </w:p>
    <w:p>
      <w:pPr>
        <w:spacing w:before="0" w:after="0" w:line="408" w:lineRule="exact"/>
        <w:ind w:left="0" w:right="0" w:firstLine="576"/>
        <w:jc w:val="left"/>
      </w:pPr>
      <w:r>
        <w:rPr>
          <w:u w:val="single"/>
        </w:rPr>
        <w:t xml:space="preserve">(ii) Useable</w:t>
      </w:r>
      <w:r>
        <w:rPr/>
        <w:t xml:space="preserve"> marijuana</w:t>
      </w:r>
      <w:r>
        <w:t>((</w:t>
      </w:r>
      <w:r>
        <w:rPr>
          <w:strike/>
        </w:rPr>
        <w:t xml:space="preserve">, marijuana-infused</w:t>
      </w:r>
      <w:r>
        <w:t>))</w:t>
      </w:r>
      <w:r>
        <w:rPr>
          <w:u w:val="single"/>
        </w:rPr>
        <w:t xml:space="preserve">;</w:t>
      </w:r>
    </w:p>
    <w:p>
      <w:pPr>
        <w:spacing w:before="0" w:after="0" w:line="408" w:lineRule="exact"/>
        <w:ind w:left="0" w:right="0" w:firstLine="576"/>
        <w:jc w:val="left"/>
      </w:pPr>
      <w:r>
        <w:rPr>
          <w:u w:val="single"/>
        </w:rPr>
        <w:t xml:space="preserve">(iii) Marijuana-infused</w:t>
      </w:r>
      <w:r>
        <w:rPr/>
        <w:t xml:space="preserve"> products</w:t>
      </w:r>
      <w:r>
        <w:t>((</w:t>
      </w:r>
      <w:r>
        <w:rPr>
          <w:strike/>
        </w:rPr>
        <w:t xml:space="preserve">, or paraphernalia</w:t>
      </w:r>
      <w:r>
        <w:t>))</w:t>
      </w:r>
      <w:r>
        <w:rPr>
          <w:u w:val="single"/>
        </w:rPr>
        <w:t xml:space="preserve">;</w:t>
      </w:r>
    </w:p>
    <w:p>
      <w:pPr>
        <w:spacing w:before="0" w:after="0" w:line="408" w:lineRule="exact"/>
        <w:ind w:left="0" w:right="0" w:firstLine="576"/>
        <w:jc w:val="left"/>
      </w:pPr>
      <w:r>
        <w:rPr>
          <w:u w:val="single"/>
        </w:rPr>
        <w:t xml:space="preserve">(iv) CBD products lawfully obtained from a marijuana processor or a person or entity who is not required to be licensed as a marijuana producer or processor under this chapter, provided that the CBD products:</w:t>
      </w:r>
    </w:p>
    <w:p>
      <w:pPr>
        <w:spacing w:before="0" w:after="0" w:line="408" w:lineRule="exact"/>
        <w:ind w:left="0" w:right="0" w:firstLine="576"/>
        <w:jc w:val="left"/>
      </w:pPr>
      <w:r>
        <w:rPr>
          <w:u w:val="single"/>
        </w:rPr>
        <w:t xml:space="preserve">(A) Have a THC level of 0.3 percent or less on a dry weight basis; and</w:t>
      </w:r>
    </w:p>
    <w:p>
      <w:pPr>
        <w:spacing w:before="0" w:after="0" w:line="408" w:lineRule="exact"/>
        <w:ind w:left="0" w:right="0" w:firstLine="576"/>
        <w:jc w:val="left"/>
      </w:pPr>
      <w:r>
        <w:rPr>
          <w:u w:val="single"/>
        </w:rPr>
        <w:t xml:space="preserve">(B) Have been tested for potency, pesticides, and heavy metals by a testing laboratory accredited under this chapter and in accordance with testing standards established under this chapter and applicable administrative rules; or</w:t>
      </w:r>
    </w:p>
    <w:p>
      <w:pPr>
        <w:spacing w:before="0" w:after="0" w:line="408" w:lineRule="exact"/>
        <w:ind w:left="0" w:right="0" w:firstLine="576"/>
        <w:jc w:val="left"/>
      </w:pPr>
      <w:r>
        <w:rPr>
          <w:u w:val="single"/>
        </w:rPr>
        <w:t xml:space="preserve">(v) Paraphernalia</w:t>
      </w:r>
      <w:r>
        <w:rPr/>
        <w:t xml:space="preserve"> intended for the storage or use of marijuana concentrates, useable marijuana, or marijuana-infused products.</w:t>
      </w:r>
    </w:p>
    <w:p>
      <w:pPr>
        <w:spacing w:before="0" w:after="0" w:line="408" w:lineRule="exact"/>
        <w:ind w:left="0" w:right="0" w:firstLine="576"/>
        <w:jc w:val="left"/>
      </w:pPr>
      <w:r>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marijuana producer and processor must submit representative samples of </w:t>
      </w:r>
      <w:r>
        <w:rPr>
          <w:u w:val="single"/>
        </w:rPr>
        <w:t xml:space="preserve">CBD products,</w:t>
      </w:r>
      <w:r>
        <w:rPr/>
        <w:t xml:space="preserve"> marijuana, useable marijuana, or marijuana-infused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marijuana producer and processor must submit representative samples of </w:t>
      </w:r>
      <w:r>
        <w:rPr>
          <w:u w:val="single"/>
        </w:rPr>
        <w:t xml:space="preserve">CBD products,</w:t>
      </w:r>
      <w:r>
        <w:rPr/>
        <w:t xml:space="preserve"> marijuana, useable marijuana, or marijuana-infused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marijuana product testing laboratory accreditation program, except for the initial program development costs. The department of ecology must develop a fee schedule allocating the costs of the accreditation program among its accredited marijuana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marijuana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marijuana product testing laboratory accreditation program initial development costs must be fully paid from the dedicated marijuana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marijuana account created in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
      <w:pPr>
        <w:jc w:val="center"/>
      </w:pPr>
      <w:r>
        <w:rPr>
          <w:b/>
        </w:rPr>
        <w:t>--- END ---</w:t>
      </w:r>
    </w:p>
    <w:sectPr>
      <w:pgNumType w:start="1"/>
      <w:footerReference xmlns:r="http://schemas.openxmlformats.org/officeDocument/2006/relationships" r:id="R91a0fefb4ac143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ccf457ed534690" /><Relationship Type="http://schemas.openxmlformats.org/officeDocument/2006/relationships/footer" Target="/word/footer1.xml" Id="R91a0fefb4ac14309" /></Relationships>
</file>