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1e95e6a70e4398" /></Relationships>
</file>

<file path=word/document.xml><?xml version="1.0" encoding="utf-8"?>
<w:document xmlns:w="http://schemas.openxmlformats.org/wordprocessingml/2006/main">
  <w:body>
    <w:p>
      <w:r>
        <w:t>S-5877.3</w:t>
      </w:r>
    </w:p>
    <w:p>
      <w:pPr>
        <w:jc w:val="center"/>
      </w:pPr>
      <w:r>
        <w:t>_______________________________________________</w:t>
      </w:r>
    </w:p>
    <w:p/>
    <w:p>
      <w:pPr>
        <w:jc w:val="center"/>
      </w:pPr>
      <w:r>
        <w:rPr>
          <w:b/>
        </w:rPr>
        <w:t>SUBSTITUTE SENATE BILL 6266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Padden, Hasegawa, Das, and Holy)</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seizure and forfeiture reporting; and amending RCW 69.50.505.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t>
      </w:r>
      <w:r>
        <w:rPr>
          <w:u w:val="single"/>
        </w:rPr>
        <w:t xml:space="preserve">The seizing agency must keep a record, about property seized and forfeited under state law and any agreement with any federal agency, of each forfeiture indicating:</w:t>
      </w:r>
    </w:p>
    <w:p>
      <w:pPr>
        <w:spacing w:before="0" w:after="0" w:line="408" w:lineRule="exact"/>
        <w:ind w:left="0" w:right="0" w:firstLine="576"/>
        <w:jc w:val="left"/>
      </w:pPr>
      <w:r>
        <w:rPr>
          <w:u w:val="single"/>
        </w:rPr>
        <w:t xml:space="preserve">(i) The name of the seizing agency;</w:t>
      </w:r>
    </w:p>
    <w:p>
      <w:pPr>
        <w:spacing w:before="0" w:after="0" w:line="408" w:lineRule="exact"/>
        <w:ind w:left="0" w:right="0" w:firstLine="576"/>
        <w:jc w:val="left"/>
      </w:pPr>
      <w:r>
        <w:rPr>
          <w:u w:val="single"/>
        </w:rPr>
        <w:t xml:space="preserve">(ii) Date of seizure;</w:t>
      </w:r>
    </w:p>
    <w:p>
      <w:pPr>
        <w:spacing w:before="0" w:after="0" w:line="408" w:lineRule="exact"/>
        <w:ind w:left="0" w:right="0" w:firstLine="576"/>
        <w:jc w:val="left"/>
      </w:pPr>
      <w:r>
        <w:rPr>
          <w:u w:val="single"/>
        </w:rPr>
        <w:t xml:space="preserve">(iii) Type of property seized;</w:t>
      </w:r>
    </w:p>
    <w:p>
      <w:pPr>
        <w:spacing w:before="0" w:after="0" w:line="408" w:lineRule="exact"/>
        <w:ind w:left="0" w:right="0" w:firstLine="576"/>
        <w:jc w:val="left"/>
      </w:pPr>
      <w:r>
        <w:rPr>
          <w:u w:val="single"/>
        </w:rPr>
        <w:t xml:space="preserve">(iv) Description of the property including make, model, year, and serial number;</w:t>
      </w:r>
    </w:p>
    <w:p>
      <w:pPr>
        <w:spacing w:before="0" w:after="0" w:line="408" w:lineRule="exact"/>
        <w:ind w:left="0" w:right="0" w:firstLine="576"/>
        <w:jc w:val="left"/>
      </w:pPr>
      <w:r>
        <w:rPr>
          <w:u w:val="single"/>
        </w:rPr>
        <w:t xml:space="preserve">(v) Street address or description of the location where the seizure occurred;</w:t>
      </w:r>
    </w:p>
    <w:p>
      <w:pPr>
        <w:spacing w:before="0" w:after="0" w:line="408" w:lineRule="exact"/>
        <w:ind w:left="0" w:right="0" w:firstLine="576"/>
        <w:jc w:val="left"/>
      </w:pPr>
      <w:r>
        <w:rPr>
          <w:u w:val="single"/>
        </w:rPr>
        <w:t xml:space="preserve">(vi) Whether the seizure was adopted by the federal government, part of a joint task force with the federal government, or other arrangement with the federal government;</w:t>
      </w:r>
    </w:p>
    <w:p>
      <w:pPr>
        <w:spacing w:before="0" w:after="0" w:line="408" w:lineRule="exact"/>
        <w:ind w:left="0" w:right="0" w:firstLine="576"/>
        <w:jc w:val="left"/>
      </w:pPr>
      <w:r>
        <w:rPr>
          <w:u w:val="single"/>
        </w:rPr>
        <w:t xml:space="preserve">(vii) Crime for which suspect was charged;</w:t>
      </w:r>
    </w:p>
    <w:p>
      <w:pPr>
        <w:spacing w:before="0" w:after="0" w:line="408" w:lineRule="exact"/>
        <w:ind w:left="0" w:right="0" w:firstLine="576"/>
        <w:jc w:val="left"/>
      </w:pPr>
      <w:r>
        <w:rPr>
          <w:u w:val="single"/>
        </w:rPr>
        <w:t xml:space="preserve">(viii) Whether the suspect was convicted of a crime;</w:t>
      </w:r>
    </w:p>
    <w:p>
      <w:pPr>
        <w:spacing w:before="0" w:after="0" w:line="408" w:lineRule="exact"/>
        <w:ind w:left="0" w:right="0" w:firstLine="576"/>
        <w:jc w:val="left"/>
      </w:pPr>
      <w:r>
        <w:rPr>
          <w:u w:val="single"/>
        </w:rPr>
        <w:t xml:space="preserve">(ix) Whether the forfeiture was contested by a suspect, innocent owner claimant, joint owner, other property owner;</w:t>
      </w:r>
    </w:p>
    <w:p>
      <w:pPr>
        <w:spacing w:before="0" w:after="0" w:line="408" w:lineRule="exact"/>
        <w:ind w:left="0" w:right="0" w:firstLine="576"/>
        <w:jc w:val="left"/>
      </w:pPr>
      <w:r>
        <w:rPr>
          <w:u w:val="single"/>
        </w:rPr>
        <w:t xml:space="preserve">(x) Disposition of the property through the forfeiture process, such as returned to suspect, returned to a joint owner or third-party owner, sold, destroyed, or retained by a law enforcement agency;</w:t>
      </w:r>
    </w:p>
    <w:p>
      <w:pPr>
        <w:spacing w:before="0" w:after="0" w:line="408" w:lineRule="exact"/>
        <w:ind w:left="0" w:right="0" w:firstLine="576"/>
        <w:jc w:val="left"/>
      </w:pPr>
      <w:r>
        <w:rPr>
          <w:u w:val="single"/>
        </w:rPr>
        <w:t xml:space="preserve">(xi) Date of disposition of the property;</w:t>
      </w:r>
    </w:p>
    <w:p>
      <w:pPr>
        <w:spacing w:before="0" w:after="0" w:line="408" w:lineRule="exact"/>
        <w:ind w:left="0" w:right="0" w:firstLine="576"/>
        <w:jc w:val="left"/>
      </w:pPr>
      <w:r>
        <w:rPr>
          <w:u w:val="single"/>
        </w:rPr>
        <w:t xml:space="preserve">(xii) Basis for disposition of property in (a)(x) of this subsection, such as suspect found not guilty, plea agreement, or criminal forfeiture or civil forfeiture;</w:t>
      </w:r>
    </w:p>
    <w:p>
      <w:pPr>
        <w:spacing w:before="0" w:after="0" w:line="408" w:lineRule="exact"/>
        <w:ind w:left="0" w:right="0" w:firstLine="576"/>
        <w:jc w:val="left"/>
      </w:pPr>
      <w:r>
        <w:rPr>
          <w:u w:val="single"/>
        </w:rPr>
        <w:t xml:space="preserve">(xiii) Value of the property forfeited; and</w:t>
      </w:r>
    </w:p>
    <w:p>
      <w:pPr>
        <w:spacing w:before="0" w:after="0" w:line="408" w:lineRule="exact"/>
        <w:ind w:left="0" w:right="0" w:firstLine="576"/>
        <w:jc w:val="left"/>
      </w:pPr>
      <w:r>
        <w:rPr>
          <w:u w:val="single"/>
        </w:rPr>
        <w:t xml:space="preserve">(xiv) The net proceeds retained by the law enforcement agency that seized the property.</w:t>
      </w:r>
    </w:p>
    <w:p>
      <w:pPr>
        <w:spacing w:before="0" w:after="0" w:line="408" w:lineRule="exact"/>
        <w:ind w:left="0" w:right="0" w:firstLine="576"/>
        <w:jc w:val="left"/>
      </w:pPr>
      <w:r>
        <w:rPr>
          <w:u w:val="single"/>
        </w:rPr>
        <w:t xml:space="preserve">(b) Each calendar quarter w</w:t>
      </w:r>
      <w:r>
        <w:rPr/>
        <w:t xml:space="preserve">hen property is forfeited, the seizing agency shall </w:t>
      </w:r>
      <w:r>
        <w:t>((</w:t>
      </w:r>
      <w:r>
        <w:rPr>
          <w:strike/>
        </w:rPr>
        <w:t xml:space="preserve">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w:t>
      </w:r>
      <w:r>
        <w:t>))</w:t>
      </w:r>
      <w:r>
        <w:rPr/>
        <w:t xml:space="preserve"> </w:t>
      </w:r>
      <w:r>
        <w:rPr>
          <w:u w:val="single"/>
        </w:rPr>
        <w:t xml:space="preserve">file a report, that includes all of the records in (a) of this subsection, to the state treasurer. The state treasurer must establish and maintain a searchable public web site that includes all of the records in (a) of this subsection.</w:t>
      </w:r>
      <w:r>
        <w:rPr/>
        <w:t xml:space="preserve"> The quarterly report need not include a record of forfeited property that is still being held for use as evidence during the investigation or prosecution of a case or during the appeal from a conviction. </w:t>
      </w:r>
      <w:r>
        <w:rPr>
          <w:u w:val="single"/>
        </w:rPr>
        <w:t xml:space="preserve">The state treasurer must provide an annual report to the legislature providing aggregate data from the reports it receives from seizing agencies.</w:t>
      </w:r>
    </w:p>
    <w:p>
      <w:pPr>
        <w:spacing w:before="0" w:after="0" w:line="408" w:lineRule="exact"/>
        <w:ind w:left="0" w:right="0" w:firstLine="576"/>
        <w:jc w:val="left"/>
      </w:pPr>
      <w:r>
        <w:rPr>
          <w:u w:val="single"/>
        </w:rPr>
        <w:t xml:space="preserve">(c) By March 1st each year, the seizing agency shall file with the state treasurer a report that summarizes the agency's expenditures from the sum of the net proceeds of all seized and forfeited property during the previous calendar year. The report must be posted and made available on the web site created in this subsection (8). The report must use the following categories to summarize expenditures and values:</w:t>
      </w:r>
    </w:p>
    <w:p>
      <w:pPr>
        <w:spacing w:before="0" w:after="0" w:line="408" w:lineRule="exact"/>
        <w:ind w:left="0" w:right="0" w:firstLine="576"/>
        <w:jc w:val="left"/>
      </w:pPr>
      <w:r>
        <w:rPr>
          <w:u w:val="single"/>
        </w:rPr>
        <w:t xml:space="preserve">(i) Abuse, crime, and gang prevention programs;</w:t>
      </w:r>
    </w:p>
    <w:p>
      <w:pPr>
        <w:spacing w:before="0" w:after="0" w:line="408" w:lineRule="exact"/>
        <w:ind w:left="0" w:right="0" w:firstLine="576"/>
        <w:jc w:val="left"/>
      </w:pPr>
      <w:r>
        <w:rPr>
          <w:u w:val="single"/>
        </w:rPr>
        <w:t xml:space="preserve">(ii) Witness protection, informant fees, and controlled buys;</w:t>
      </w:r>
    </w:p>
    <w:p>
      <w:pPr>
        <w:spacing w:before="0" w:after="0" w:line="408" w:lineRule="exact"/>
        <w:ind w:left="0" w:right="0" w:firstLine="576"/>
        <w:jc w:val="left"/>
      </w:pPr>
      <w:r>
        <w:rPr>
          <w:u w:val="single"/>
        </w:rPr>
        <w:t xml:space="preserve">(iii) Salaries, overtime, and benefits;</w:t>
      </w:r>
    </w:p>
    <w:p>
      <w:pPr>
        <w:spacing w:before="0" w:after="0" w:line="408" w:lineRule="exact"/>
        <w:ind w:left="0" w:right="0" w:firstLine="576"/>
        <w:jc w:val="left"/>
      </w:pPr>
      <w:r>
        <w:rPr>
          <w:u w:val="single"/>
        </w:rPr>
        <w:t xml:space="preserve">(iv) Professional outside services, including auditing, court reporting, expert witnesses, outside attorneys' fees, and membership fees paid to trade associations;</w:t>
      </w:r>
    </w:p>
    <w:p>
      <w:pPr>
        <w:spacing w:before="0" w:after="0" w:line="408" w:lineRule="exact"/>
        <w:ind w:left="0" w:right="0" w:firstLine="576"/>
        <w:jc w:val="left"/>
      </w:pPr>
      <w:r>
        <w:rPr>
          <w:u w:val="single"/>
        </w:rPr>
        <w:t xml:space="preserve">(v) Travel, meals, entertainment, conferences, training, and continuing education seminars;</w:t>
      </w:r>
    </w:p>
    <w:p>
      <w:pPr>
        <w:spacing w:before="0" w:after="0" w:line="408" w:lineRule="exact"/>
        <w:ind w:left="0" w:right="0" w:firstLine="576"/>
        <w:jc w:val="left"/>
      </w:pPr>
      <w:r>
        <w:rPr>
          <w:u w:val="single"/>
        </w:rPr>
        <w:t xml:space="preserve">(vi) Other operating expenses including office supplies, postage, and printing;</w:t>
      </w:r>
    </w:p>
    <w:p>
      <w:pPr>
        <w:spacing w:before="0" w:after="0" w:line="408" w:lineRule="exact"/>
        <w:ind w:left="0" w:right="0" w:firstLine="576"/>
        <w:jc w:val="left"/>
      </w:pPr>
      <w:r>
        <w:rPr>
          <w:u w:val="single"/>
        </w:rPr>
        <w:t xml:space="preserve">(vii) Capital expenditures including vehicles, firearms, equipment, computers, and furniture;</w:t>
      </w:r>
    </w:p>
    <w:p>
      <w:pPr>
        <w:spacing w:before="0" w:after="0" w:line="408" w:lineRule="exact"/>
        <w:ind w:left="0" w:right="0" w:firstLine="576"/>
        <w:jc w:val="left"/>
      </w:pPr>
      <w:r>
        <w:rPr>
          <w:u w:val="single"/>
        </w:rPr>
        <w:t xml:space="preserve">(viii) Other expenditures of forfeiture proceeds; and</w:t>
      </w:r>
    </w:p>
    <w:p>
      <w:pPr>
        <w:spacing w:before="0" w:after="0" w:line="408" w:lineRule="exact"/>
        <w:ind w:left="0" w:right="0" w:firstLine="576"/>
        <w:jc w:val="left"/>
      </w:pPr>
      <w:r>
        <w:rPr>
          <w:u w:val="single"/>
        </w:rPr>
        <w:t xml:space="preserve">(ix) The total value of forfeited property held by the agency at the end of the reporting period.</w:t>
      </w:r>
    </w:p>
    <w:p>
      <w:pPr>
        <w:spacing w:before="0" w:after="0" w:line="408" w:lineRule="exact"/>
        <w:ind w:left="0" w:right="0" w:firstLine="576"/>
        <w:jc w:val="left"/>
      </w:pPr>
      <w:r>
        <w:rPr>
          <w:u w:val="single"/>
        </w:rPr>
        <w:t xml:space="preserve">(d) The state auditor must conduct an annual audit of a seizing agency that fails to comply with the reporting requirements in this section until compliance is obtained.</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
      <w:pPr>
        <w:jc w:val="center"/>
      </w:pPr>
      <w:r>
        <w:rPr>
          <w:b/>
        </w:rPr>
        <w:t>--- END ---</w:t>
      </w:r>
    </w:p>
    <w:sectPr>
      <w:pgNumType w:start="1"/>
      <w:footerReference xmlns:r="http://schemas.openxmlformats.org/officeDocument/2006/relationships" r:id="R3898d325f40743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a3b62915d743ed" /><Relationship Type="http://schemas.openxmlformats.org/officeDocument/2006/relationships/footer" Target="/word/footer1.xml" Id="R3898d325f40743b7" /></Relationships>
</file>