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829307afa18423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6238</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Senators Hunt, Kuderer, Wilson, C., and Sheldon</w:t>
      </w:r>
    </w:p>
    <w:p/>
    <w:p>
      <w:r>
        <w:rPr>
          <w:t xml:space="preserve">Prefiled 01/10/20.</w:t>
        </w:rPr>
      </w:r>
      <w:r>
        <w:rPr>
          <w:t xml:space="preserve">Read first time 01/13/20.  </w:t>
        </w:rPr>
      </w:r>
      <w:r>
        <w:rPr>
          <w:t xml:space="preserve">Referred to Committee on State Government, Tribal Relations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requiring local ballot measure statement committee members to be registered voters in the area voting on the measure; and amending RCW 29A.32.280.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32</w:t>
      </w:r>
      <w:r>
        <w:rPr/>
        <w:t xml:space="preserve">.</w:t>
      </w:r>
      <w:r>
        <w:t xml:space="preserve">280</w:t>
      </w:r>
      <w:r>
        <w:rPr/>
        <w:t xml:space="preserve"> and 2015 c 146 s 3 are each amended to read as follows:</w:t>
      </w:r>
    </w:p>
    <w:p>
      <w:pPr>
        <w:spacing w:before="0" w:after="0" w:line="408" w:lineRule="exact"/>
        <w:ind w:left="0" w:right="0" w:firstLine="576"/>
        <w:jc w:val="left"/>
      </w:pPr>
      <w:r>
        <w:rPr/>
        <w:t xml:space="preserve">For each measure from a unit of local government that is included in a local voters' pamphlet, the legislative authority of that jurisdiction shall, not later than the resolution deadline, formally appoint a committee to prepare arguments advocating voters' approval of the measure and shall formally appoint a committee to prepare arguments advocating voters' rejection of the measure. The authority shall appoint persons known to favor the measure to serve on the committee advocating approval and shall, whenever possible, appoint persons known to oppose the measure to serve on the committee advocating rejection. Each committee shall have not more than three members, however, a committee may seek the advice of any person or persons. </w:t>
      </w:r>
      <w:r>
        <w:rPr>
          <w:u w:val="single"/>
        </w:rPr>
        <w:t xml:space="preserve">Each member of the committee must be a registered voter in the jurisdiction voting on the measure.</w:t>
      </w:r>
      <w:r>
        <w:rPr/>
        <w:t xml:space="preserve"> If the legislative authority of a unit of local government fails to make such appointments by the prescribed deadline, the county auditor shall whenever possible make the appointments.</w:t>
      </w:r>
    </w:p>
    <w:p/>
    <w:p>
      <w:pPr>
        <w:jc w:val="center"/>
      </w:pPr>
      <w:r>
        <w:rPr>
          <w:b/>
        </w:rPr>
        <w:t>--- END ---</w:t>
      </w:r>
    </w:p>
    <w:sectPr>
      <w:pgNumType w:start="1"/>
      <w:footerReference xmlns:r="http://schemas.openxmlformats.org/officeDocument/2006/relationships" r:id="R2e739c28ca754237"/>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6238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7a3e5f2d484ef2" /><Relationship Type="http://schemas.openxmlformats.org/officeDocument/2006/relationships/footer" Target="/word/footer1.xml" Id="R2e739c28ca754237" /></Relationships>
</file>