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e2049d014755" /></Relationships>
</file>

<file path=word/document.xml><?xml version="1.0" encoding="utf-8"?>
<w:document xmlns:w="http://schemas.openxmlformats.org/wordprocessingml/2006/main">
  <w:body>
    <w:p>
      <w:r>
        <w:t>S-5496.1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6062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Senate Health &amp; Long Term Care (originally sponsored by Senators Becker and Short)</w:t>
      </w:r>
    </w:p>
    <w:p/>
    <w:p>
      <w:r>
        <w:rPr>
          <w:t xml:space="preserve">READ FIRST TIME 01/21/20.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 primary care oversight; and repealing RCW 48.150.100.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100</w:t>
      </w:r>
      <w:r>
        <w:rPr/>
        <w:t xml:space="preserve"> (Annual statements</w:t>
      </w:r>
      <w:r>
        <w:rPr>
          <w:rFonts w:ascii="Times New Roman" w:hAnsi="Times New Roman"/>
        </w:rPr>
        <w:t xml:space="preserve">—</w:t>
      </w:r>
      <w:r>
        <w:rPr/>
        <w:t xml:space="preserve">Commissioner's report) and 2007 c 267 s 12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42e942e779f44b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6062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c3e49e3f94a92" /><Relationship Type="http://schemas.openxmlformats.org/officeDocument/2006/relationships/footer" Target="/word/footer1.xml" Id="R442e942e779f44b8" /></Relationships>
</file>