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bec1c31359416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6032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Hawkins, Hobbs, King, Takko, Kuderer, Fortunato, Becker, Short, Sheldon, Warnick, Saldaña, Mullet, Zeiger, Wilson, C., Holy, Hunt, Wilson, L., Wellman, Padden, Hasegawa, Brown, Carlyle, Conway, Das, Dhingra, Ericksen, Lovelett, Muzzall, Nguyen, Pedersen, Rivers, Rolfes, and Salomon</w:t>
      </w:r>
    </w:p>
    <w:p/>
    <w:p>
      <w:r>
        <w:rPr>
          <w:t xml:space="preserve">Prefiled 12/03/19.</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Washington apples special license plate; reenacting and amending RCW 46.18.200, 46.17.220,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2019 c 384 s 1 and 2019 c 177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2019 c 384 s 2 and 2019 c 177 s 2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(19)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(21)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(22)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(23)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(24)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(25)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(26)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(27)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(28)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(29)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(30) </w:t>
            </w:r>
            <w:r>
              <w:rPr>
                <w:rFonts w:ascii="Times New Roman" w:hAnsi="Times New Roman"/>
                <w:sz w:val="16"/>
                <w:u w:val="single"/>
              </w:rPr>
              <w:t xml:space="preserve">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(31)</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2019 c 384 s 3 and 2019 c 177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w:t>
      </w:r>
      <w:r>
        <w:t>((</w:t>
      </w:r>
      <w:r>
        <w:rPr>
          <w:strike/>
        </w:rPr>
        <w:t xml:space="preserve">account [fund]</w:t>
      </w:r>
      <w:r>
        <w:t>))</w:t>
      </w:r>
      <w:r>
        <w:rPr/>
        <w:t xml:space="preserve"> </w:t>
      </w:r>
      <w:r>
        <w:rPr>
          <w:u w:val="single"/>
        </w:rPr>
        <w:t xml:space="preserve">fund</w:t>
      </w:r>
      <w:r>
        <w:rPr/>
        <w:t xml:space="preserve">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office of the lieutenant governor solely to administer the sports mentoring program established under RCW 43.15.100,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office of the lieutenant governor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association of Washington generals created in RCW 43.15.030 in the following manner: Twenty-five thousand dollars per year of the net proceeds to the legislative youth advisory council, or its successor organization; and the remaining net proceeds on an annual basis, to the association of Washington generals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apples license plate" means a special license plate under RCW 46.18.200 that displays the Washington apple logo.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e083c1a89d1247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36903c75204653" /><Relationship Type="http://schemas.openxmlformats.org/officeDocument/2006/relationships/footer" Target="/word/footer1.xml" Id="Re083c1a89d1247c5" /></Relationships>
</file>