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faf532dd846ee" /></Relationships>
</file>

<file path=word/document.xml><?xml version="1.0" encoding="utf-8"?>
<w:document xmlns:w="http://schemas.openxmlformats.org/wordprocessingml/2006/main">
  <w:body>
    <w:p>
      <w:r>
        <w:t>S-2378.2</w:t>
      </w:r>
    </w:p>
    <w:p>
      <w:pPr>
        <w:jc w:val="center"/>
      </w:pPr>
      <w:r>
        <w:t>_______________________________________________</w:t>
      </w:r>
    </w:p>
    <w:p/>
    <w:p>
      <w:pPr>
        <w:jc w:val="center"/>
      </w:pPr>
      <w:r>
        <w:rPr>
          <w:b/>
        </w:rPr>
        <w:t>SENATE BILL 5987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Keiser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applying minimum wage requirements to independent contractors; amending RCW 49.46.010;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w:t>
      </w:r>
      <w:r>
        <w:t>((</w:t>
      </w:r>
      <w:r>
        <w:rPr>
          <w:strike/>
        </w:rPr>
        <w:t xml:space="preserve">but shall</w:t>
      </w:r>
      <w:r>
        <w:t>))</w:t>
      </w:r>
      <w:r>
        <w:rPr>
          <w:u w:val="single"/>
        </w:rPr>
        <w:t xml:space="preserve">. For the purposes of the minimum wage requirements under this chapter only, "employee" also includes any person working for an employer under an independent contract the essence of which is his or her personal labor. "Employee" does</w:t>
      </w:r>
      <w:r>
        <w:rPr/>
        <w:t xml:space="preserve">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31, 2019.</w:t>
      </w:r>
    </w:p>
    <w:p/>
    <w:p>
      <w:pPr>
        <w:jc w:val="center"/>
      </w:pPr>
      <w:r>
        <w:rPr>
          <w:b/>
        </w:rPr>
        <w:t>--- END ---</w:t>
      </w:r>
    </w:p>
    <w:sectPr>
      <w:pgNumType w:start="1"/>
      <w:footerReference xmlns:r="http://schemas.openxmlformats.org/officeDocument/2006/relationships" r:id="Rb081c2ef034f41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e84f574c914594" /><Relationship Type="http://schemas.openxmlformats.org/officeDocument/2006/relationships/footer" Target="/word/footer1.xml" Id="Rb081c2ef034f41ee" /></Relationships>
</file>