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49c695358d4ffb" /></Relationships>
</file>

<file path=word/document.xml><?xml version="1.0" encoding="utf-8"?>
<w:document xmlns:w="http://schemas.openxmlformats.org/wordprocessingml/2006/main">
  <w:body>
    <w:p>
      <w:r>
        <w:t>S-1282.3</w:t>
      </w:r>
    </w:p>
    <w:p>
      <w:pPr>
        <w:jc w:val="center"/>
      </w:pPr>
      <w:r>
        <w:t>_______________________________________________</w:t>
      </w:r>
    </w:p>
    <w:p/>
    <w:p>
      <w:pPr>
        <w:jc w:val="center"/>
      </w:pPr>
      <w:r>
        <w:rPr>
          <w:b/>
        </w:rPr>
        <w:t>SENATE BILL 5930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Randall, Lovelett, Liias, Nguyen, Wilson, C., Palumbo, Sheldon, Mullet, and Hunt</w:t>
      </w:r>
    </w:p>
    <w:p/>
    <w:p>
      <w:r>
        <w:rPr>
          <w:t xml:space="preserve">Read first time 02/15/19.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Seattle Storm special license plates to fund youth leadership and sports programs; amending RCW 46.18.200, 46.17.220, and 46.68.420;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2018 c 67 s 5 are each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Fred Hutch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Mariners"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Seattle Storm</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Displays the "Seattle Storm"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Stearman biplane in the foreground with an image of Mount Rainier in the background.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2018 c 67 s 4 are each amended to read as follows:</w:t>
      </w:r>
    </w:p>
    <w:p>
      <w:pPr>
        <w:spacing w:before="0" w:after="120" w:line="408" w:lineRule="exact"/>
        <w:ind w:left="0" w:right="0" w:firstLine="576"/>
        <w:jc w:val="left"/>
      </w:pPr>
      <w:r>
        <w:rPr/>
        <w:t xml:space="preserve">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 4-H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 Amateur radio license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 Armed forces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(4) Breast cancer awareness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(5) Collector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(6) Collegiate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(7) Endangered wildlife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(8) Fred Hutch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(9) Gonzaga University alumni association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(10) Helping kids speak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(11) Horseless carriage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(12) Keep kids safe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(13) Law enforcement memorial</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(14) Military affiliate radio system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(15) Music matters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(16) Professional firefighters and paramedics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(17) Purple Heart</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(18) Ride share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$ 25.00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(19) Seattle Mariners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(20) Seattle Seahawks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(21) Seattle Sounders FC</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(22) </w:t>
            </w:r>
            <w:r>
              <w:rPr>
                <w:rFonts w:ascii="Times New Roman" w:hAnsi="Times New Roman"/>
                <w:sz w:val="16"/>
                <w:u w:val="single"/>
              </w:rPr>
              <w:t xml:space="preserve">Seattle Storm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u w:val="single"/>
              </w:rPr>
              <w:t xml:space="preserve">(23)</w:t>
            </w:r>
            <w:r>
              <w:rPr>
                <w:rFonts w:ascii="Times New Roman" w:hAnsi="Times New Roman"/>
                <w:sz w:val="16"/>
              </w:rPr>
              <w:t xml:space="preserve"> Seattle University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(23)</w:t>
            </w:r>
            <w:r>
              <w:t>))</w:t>
            </w:r>
            <w:r>
              <w:rPr>
                <w:rFonts w:ascii="Times New Roman" w:hAnsi="Times New Roman"/>
                <w:sz w:val="16"/>
              </w:rPr>
              <w:t xml:space="preserve"> </w:t>
            </w:r>
            <w:r>
              <w:rPr>
                <w:rFonts w:ascii="Times New Roman" w:hAnsi="Times New Roman"/>
                <w:sz w:val="16"/>
                <w:u w:val="single"/>
              </w:rPr>
              <w:t xml:space="preserve">(24)</w:t>
            </w:r>
            <w:r>
              <w:rPr>
                <w:rFonts w:ascii="Times New Roman" w:hAnsi="Times New Roman"/>
                <w:sz w:val="16"/>
              </w:rPr>
              <w:t xml:space="preserve"> Share the road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(24)</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Ski &amp; ride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(25)</w:t>
            </w:r>
            <w:r>
              <w:t>))</w:t>
            </w:r>
            <w:r>
              <w:rPr>
                <w:rFonts w:ascii="Times New Roman" w:hAnsi="Times New Roman"/>
                <w:sz w:val="16"/>
              </w:rPr>
              <w:t xml:space="preserve"> </w:t>
            </w:r>
            <w:r>
              <w:rPr>
                <w:rFonts w:ascii="Times New Roman" w:hAnsi="Times New Roman"/>
                <w:sz w:val="16"/>
                <w:u w:val="single"/>
              </w:rPr>
              <w:t xml:space="preserve">(26)</w:t>
            </w:r>
            <w:r>
              <w:rPr>
                <w:rFonts w:ascii="Times New Roman" w:hAnsi="Times New Roman"/>
                <w:sz w:val="16"/>
              </w:rPr>
              <w:t xml:space="preserve"> Square dancer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(26)</w:t>
            </w:r>
            <w:r>
              <w:t>))</w:t>
            </w:r>
            <w:r>
              <w:rPr>
                <w:rFonts w:ascii="Times New Roman" w:hAnsi="Times New Roman"/>
                <w:sz w:val="16"/>
              </w:rPr>
              <w:t xml:space="preserve"> </w:t>
            </w:r>
            <w:r>
              <w:rPr>
                <w:rFonts w:ascii="Times New Roman" w:hAnsi="Times New Roman"/>
                <w:sz w:val="16"/>
                <w:u w:val="single"/>
              </w:rPr>
              <w:t xml:space="preserve">(27)</w:t>
            </w:r>
            <w:r>
              <w:rPr>
                <w:rFonts w:ascii="Times New Roman" w:hAnsi="Times New Roman"/>
                <w:sz w:val="16"/>
              </w:rPr>
              <w:t xml:space="preserve"> State flower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(27)</w:t>
            </w:r>
            <w:r>
              <w:t>))</w:t>
            </w:r>
            <w:r>
              <w:rPr>
                <w:rFonts w:ascii="Times New Roman" w:hAnsi="Times New Roman"/>
                <w:sz w:val="16"/>
              </w:rPr>
              <w:t xml:space="preserve"> </w:t>
            </w:r>
            <w:r>
              <w:rPr>
                <w:rFonts w:ascii="Times New Roman" w:hAnsi="Times New Roman"/>
                <w:sz w:val="16"/>
                <w:u w:val="single"/>
              </w:rPr>
              <w:t xml:space="preserve">(28)</w:t>
            </w:r>
            <w:r>
              <w:rPr>
                <w:rFonts w:ascii="Times New Roman" w:hAnsi="Times New Roman"/>
                <w:sz w:val="16"/>
              </w:rPr>
              <w:t xml:space="preserve"> Volunteer firefighters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(28)</w:t>
            </w:r>
            <w:r>
              <w:t>))</w:t>
            </w:r>
            <w:r>
              <w:rPr>
                <w:rFonts w:ascii="Times New Roman" w:hAnsi="Times New Roman"/>
                <w:sz w:val="16"/>
              </w:rPr>
              <w:t xml:space="preserve"> </w:t>
            </w:r>
            <w:r>
              <w:rPr>
                <w:rFonts w:ascii="Times New Roman" w:hAnsi="Times New Roman"/>
                <w:sz w:val="16"/>
                <w:u w:val="single"/>
              </w:rPr>
              <w:t xml:space="preserve">(29)</w:t>
            </w:r>
            <w:r>
              <w:rPr>
                <w:rFonts w:ascii="Times New Roman" w:hAnsi="Times New Roman"/>
                <w:sz w:val="16"/>
              </w:rPr>
              <w:t xml:space="preserve"> Washington farmers and ranchers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(29)</w:t>
            </w:r>
            <w:r>
              <w:t>))</w:t>
            </w:r>
            <w:r>
              <w:rPr>
                <w:rFonts w:ascii="Times New Roman" w:hAnsi="Times New Roman"/>
                <w:sz w:val="16"/>
              </w:rPr>
              <w:t xml:space="preserve"> </w:t>
            </w:r>
            <w:r>
              <w:rPr>
                <w:rFonts w:ascii="Times New Roman" w:hAnsi="Times New Roman"/>
                <w:sz w:val="16"/>
                <w:u w:val="single"/>
              </w:rPr>
              <w:t xml:space="preserve">(30)</w:t>
            </w:r>
            <w:r>
              <w:rPr>
                <w:rFonts w:ascii="Times New Roman" w:hAnsi="Times New Roman"/>
                <w:sz w:val="16"/>
              </w:rPr>
              <w:t xml:space="preserve"> Washington lighthouses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(30)</w:t>
            </w:r>
            <w:r>
              <w:t>))</w:t>
            </w:r>
            <w:r>
              <w:rPr>
                <w:rFonts w:ascii="Times New Roman" w:hAnsi="Times New Roman"/>
                <w:sz w:val="16"/>
              </w:rPr>
              <w:t xml:space="preserve"> </w:t>
            </w:r>
            <w:r>
              <w:rPr>
                <w:rFonts w:ascii="Times New Roman" w:hAnsi="Times New Roman"/>
                <w:sz w:val="16"/>
                <w:u w:val="single"/>
              </w:rPr>
              <w:t xml:space="preserve">(31)</w:t>
            </w:r>
            <w:r>
              <w:rPr>
                <w:rFonts w:ascii="Times New Roman" w:hAnsi="Times New Roman"/>
                <w:sz w:val="16"/>
              </w:rPr>
              <w:t xml:space="preserve"> Washington state aviation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(31)</w:t>
            </w:r>
            <w:r>
              <w:t>))</w:t>
            </w:r>
            <w:r>
              <w:rPr>
                <w:rFonts w:ascii="Times New Roman" w:hAnsi="Times New Roman"/>
                <w:sz w:val="16"/>
              </w:rPr>
              <w:t xml:space="preserve"> </w:t>
            </w:r>
            <w:r>
              <w:rPr>
                <w:rFonts w:ascii="Times New Roman" w:hAnsi="Times New Roman"/>
                <w:sz w:val="16"/>
                <w:u w:val="single"/>
              </w:rPr>
              <w:t xml:space="preserve">(32)</w:t>
            </w:r>
            <w:r>
              <w:rPr>
                <w:rFonts w:ascii="Times New Roman" w:hAnsi="Times New Roman"/>
                <w:sz w:val="16"/>
              </w:rPr>
              <w:t xml:space="preserve"> Washington state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(32)</w:t>
            </w:r>
            <w:r>
              <w:t>))</w:t>
            </w:r>
            <w:r>
              <w:rPr>
                <w:rFonts w:ascii="Times New Roman" w:hAnsi="Times New Roman"/>
                <w:sz w:val="16"/>
              </w:rPr>
              <w:t xml:space="preserve"> </w:t>
            </w:r>
            <w:r>
              <w:rPr>
                <w:rFonts w:ascii="Times New Roman" w:hAnsi="Times New Roman"/>
                <w:sz w:val="16"/>
                <w:u w:val="single"/>
              </w:rPr>
              <w:t xml:space="preserve">(33)</w:t>
            </w:r>
            <w:r>
              <w:rPr>
                <w:rFonts w:ascii="Times New Roman" w:hAnsi="Times New Roman"/>
                <w:sz w:val="16"/>
              </w:rPr>
              <w:t xml:space="preserve"> Washington state wrestling</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(33)</w:t>
            </w:r>
            <w:r>
              <w:t>))</w:t>
            </w:r>
            <w:r>
              <w:rPr>
                <w:rFonts w:ascii="Times New Roman" w:hAnsi="Times New Roman"/>
                <w:sz w:val="16"/>
              </w:rPr>
              <w:t xml:space="preserve"> </w:t>
            </w:r>
            <w:r>
              <w:rPr>
                <w:rFonts w:ascii="Times New Roman" w:hAnsi="Times New Roman"/>
                <w:sz w:val="16"/>
                <w:u w:val="single"/>
              </w:rPr>
              <w:t xml:space="preserve">(34)</w:t>
            </w:r>
            <w:r>
              <w:rPr>
                <w:rFonts w:ascii="Times New Roman" w:hAnsi="Times New Roman"/>
                <w:sz w:val="16"/>
              </w:rPr>
              <w:t xml:space="preserve"> Washington tennis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(34)</w:t>
            </w:r>
            <w:r>
              <w:t>))</w:t>
            </w:r>
            <w:r>
              <w:rPr>
                <w:rFonts w:ascii="Times New Roman" w:hAnsi="Times New Roman"/>
                <w:sz w:val="16"/>
              </w:rPr>
              <w:t xml:space="preserve"> </w:t>
            </w:r>
            <w:r>
              <w:rPr>
                <w:rFonts w:ascii="Times New Roman" w:hAnsi="Times New Roman"/>
                <w:sz w:val="16"/>
                <w:u w:val="single"/>
              </w:rPr>
              <w:t xml:space="preserve">(35)</w:t>
            </w:r>
            <w:r>
              <w:rPr>
                <w:rFonts w:ascii="Times New Roman" w:hAnsi="Times New Roman"/>
                <w:sz w:val="16"/>
              </w:rPr>
              <w:t xml:space="preserve"> Washington's fish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(35)</w:t>
            </w:r>
            <w:r>
              <w:t>))</w:t>
            </w:r>
            <w:r>
              <w:rPr>
                <w:rFonts w:ascii="Times New Roman" w:hAnsi="Times New Roman"/>
                <w:sz w:val="16"/>
              </w:rPr>
              <w:t xml:space="preserve"> </w:t>
            </w:r>
            <w:r>
              <w:rPr>
                <w:rFonts w:ascii="Times New Roman" w:hAnsi="Times New Roman"/>
                <w:sz w:val="16"/>
                <w:u w:val="single"/>
              </w:rPr>
              <w:t xml:space="preserve">(36)</w:t>
            </w:r>
            <w:r>
              <w:rPr>
                <w:rFonts w:ascii="Times New Roman" w:hAnsi="Times New Roman"/>
                <w:sz w:val="16"/>
              </w:rPr>
              <w:t xml:space="preserve"> Washington's national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(36)</w:t>
            </w:r>
            <w:r>
              <w:t>))</w:t>
            </w:r>
            <w:r>
              <w:rPr>
                <w:rFonts w:ascii="Times New Roman" w:hAnsi="Times New Roman"/>
                <w:sz w:val="16"/>
              </w:rPr>
              <w:t xml:space="preserve"> </w:t>
            </w:r>
            <w:r>
              <w:rPr>
                <w:rFonts w:ascii="Times New Roman" w:hAnsi="Times New Roman"/>
                <w:sz w:val="16"/>
                <w:u w:val="single"/>
              </w:rPr>
              <w:t xml:space="preserve">(37)</w:t>
            </w:r>
            <w:r>
              <w:rPr>
                <w:rFonts w:ascii="Times New Roman" w:hAnsi="Times New Roman"/>
                <w:sz w:val="16"/>
              </w:rPr>
              <w:t xml:space="preserve"> Washington's wildlife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(37)</w:t>
            </w:r>
            <w:r>
              <w:t>))</w:t>
            </w:r>
            <w:r>
              <w:rPr>
                <w:rFonts w:ascii="Times New Roman" w:hAnsi="Times New Roman"/>
                <w:sz w:val="16"/>
              </w:rPr>
              <w:t xml:space="preserve"> </w:t>
            </w:r>
            <w:r>
              <w:rPr>
                <w:rFonts w:ascii="Times New Roman" w:hAnsi="Times New Roman"/>
                <w:sz w:val="16"/>
                <w:u w:val="single"/>
              </w:rPr>
              <w:t xml:space="preserve">(38)</w:t>
            </w:r>
            <w:r>
              <w:rPr>
                <w:rFonts w:ascii="Times New Roman" w:hAnsi="Times New Roman"/>
                <w:sz w:val="16"/>
              </w:rPr>
              <w:t xml:space="preserve"> We love our pets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(38)</w:t>
            </w:r>
            <w:r>
              <w:t>))</w:t>
            </w:r>
            <w:r>
              <w:rPr>
                <w:rFonts w:ascii="Times New Roman" w:hAnsi="Times New Roman"/>
                <w:sz w:val="16"/>
              </w:rPr>
              <w:t xml:space="preserve"> </w:t>
            </w:r>
            <w:r>
              <w:rPr>
                <w:rFonts w:ascii="Times New Roman" w:hAnsi="Times New Roman"/>
                <w:sz w:val="16"/>
                <w:u w:val="single"/>
              </w:rPr>
              <w:t xml:space="preserve">(39)</w:t>
            </w:r>
            <w:r>
              <w:rPr>
                <w:rFonts w:ascii="Times New Roman" w:hAnsi="Times New Roman"/>
                <w:sz w:val="16"/>
              </w:rPr>
              <w:t xml:space="preserve"> Wild on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2018 c 67 s 2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cancer research at the Fred Hutchinson cancer research center</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sports mentoring program and to support the Washington world fellows program in the following manner: (a) Seventy-five percent to the office of the lieutenant governor solely to administer the sports mentoring program established under RCW 43.15.100, to encourage youth who have economic needs or face adversities to experience spectator sports or get involved in youth sports, and (b) up to twenty-five percent to the office of the lieutenant governor solely to administer the Washington world fellows program, an equity focused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InvestED and to support the Washington world fellows program in the following manner: (a) Seventy-five percent, to InvestED, to encourage secondary students who have economic needs to stay in school, return to school, or get involved within their learning community; and (b) twenty-five percent to the office of the lieutenant governor solely to administer the Washington world fellows program, including the provision of fellowships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Seattle Storm</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Provide funds to the Washington state legislative youth advisory council and the association of Washington generals created in RCW 43.15.030 in the following manner: Twenty-five thousand dollars per year of the net proceeds to the legislative youth advisory council, or its successor organization; and the remaining net proceeds on an annual basis, to the association of Washington generals for the purpose of providing grants to support and enhance athletic, recreational, and other opportunities for women and girls, and especially those with disabilities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department of transportation to support infrastructure improvements at public use airports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Except as otherwise provided in this section,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Except as otherwise provided in this section,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Funds from the Seattle Seahawks account may be provided to the lieutenant governor solely for the purpose of administering the Washington world fellows program. Of the amounts received by the lieutenant governor's office under this subsection, at least ninety percent must be provided as fellowships under the program.</w:t>
      </w:r>
    </w:p>
    <w:p>
      <w:pPr>
        <w:spacing w:before="0" w:after="0" w:line="408" w:lineRule="exact"/>
        <w:ind w:left="0" w:right="0" w:firstLine="576"/>
        <w:jc w:val="left"/>
      </w:pPr>
      <w:r>
        <w:rPr/>
        <w:t xml:space="preserve">(6) Beginning January 1, 2019, funds from the Seattle Mariners account may be provided to the office of lieutenant governor solely for the purpose of administering the sports mentoring program. Of the amounts received by the office of lieutenant governor, at least ninety percent must be applied towards services directly provided to youth participants.</w:t>
      </w:r>
    </w:p>
    <w:p>
      <w:pPr>
        <w:spacing w:before="0" w:after="0" w:line="408" w:lineRule="exact"/>
        <w:ind w:left="0" w:right="0" w:firstLine="576"/>
        <w:jc w:val="left"/>
      </w:pPr>
      <w:r>
        <w:rPr/>
        <w:t xml:space="preserve">(7)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2019.</w:t>
      </w:r>
    </w:p>
    <w:p/>
    <w:p>
      <w:pPr>
        <w:jc w:val="center"/>
      </w:pPr>
      <w:r>
        <w:rPr>
          <w:b/>
        </w:rPr>
        <w:t>--- END ---</w:t>
      </w:r>
    </w:p>
    <w:sectPr>
      <w:pgNumType w:start="1"/>
      <w:footerReference xmlns:r="http://schemas.openxmlformats.org/officeDocument/2006/relationships" r:id="R40eca0c4e2da431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5230213a4f4cca" /><Relationship Type="http://schemas.openxmlformats.org/officeDocument/2006/relationships/footer" Target="/word/footer1.xml" Id="R40eca0c4e2da431e" /></Relationships>
</file>