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46875fe6b4034" /></Relationships>
</file>

<file path=word/document.xml><?xml version="1.0" encoding="utf-8"?>
<w:document xmlns:w="http://schemas.openxmlformats.org/wordprocessingml/2006/main">
  <w:body>
    <w:p>
      <w:r>
        <w:t>S-2015.1</w:t>
      </w:r>
    </w:p>
    <w:p>
      <w:pPr>
        <w:jc w:val="center"/>
      </w:pPr>
      <w:r>
        <w:t>_______________________________________________</w:t>
      </w:r>
    </w:p>
    <w:p/>
    <w:p>
      <w:pPr>
        <w:jc w:val="center"/>
      </w:pPr>
      <w:r>
        <w:rPr>
          <w:b/>
        </w:rPr>
        <w:t>SUBSTITUTE SENATE BILL 5887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Short, Keiser, and Nguyen)</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requirements for prior authorization standards; and amending RCW 48.43.016.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2018 c 193 s 1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initial evaluation and management visit and up to six consecutive treatment visits with a contracting provider in a new episode of care of chiropractic, physical therapy, occupational therapy, East Asian medicine, massage therapy, or speech and hearing therapies </w:t>
      </w:r>
      <w:r>
        <w:t>((</w:t>
      </w:r>
      <w:r>
        <w:rPr>
          <w:strike/>
        </w:rPr>
        <w:t xml:space="preserve">that meet the standards of medical necessity and are subject to quantitative treatment limits of the health plan</w:t>
      </w:r>
      <w:r>
        <w:t>))</w:t>
      </w:r>
      <w:r>
        <w:rPr/>
        <w:t xml:space="preserve">. </w:t>
      </w:r>
      <w:r>
        <w:rPr>
          <w:u w:val="single"/>
        </w:rPr>
        <w:t xml:space="preserve">No carrier may deny or limit coverage for such initial six visits on the basis of medical necessity or appropriateness if the patient's treating provider has determined that such visits are medically necessary.</w:t>
      </w:r>
      <w:r>
        <w:rPr/>
        <w:t xml:space="preserve">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
      <w:pPr>
        <w:jc w:val="center"/>
      </w:pPr>
      <w:r>
        <w:rPr>
          <w:b/>
        </w:rPr>
        <w:t>--- END ---</w:t>
      </w:r>
    </w:p>
    <w:sectPr>
      <w:pgNumType w:start="1"/>
      <w:footerReference xmlns:r="http://schemas.openxmlformats.org/officeDocument/2006/relationships" r:id="Rc001744aa50049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2b46656a1c459f" /><Relationship Type="http://schemas.openxmlformats.org/officeDocument/2006/relationships/footer" Target="/word/footer1.xml" Id="Rc001744aa5004909" /></Relationships>
</file>