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191cf98db429e" /></Relationships>
</file>

<file path=word/document.xml><?xml version="1.0" encoding="utf-8"?>
<w:document xmlns:w="http://schemas.openxmlformats.org/wordprocessingml/2006/main">
  <w:body>
    <w:p>
      <w:r>
        <w:t>S-2156.1</w:t>
      </w:r>
    </w:p>
    <w:p>
      <w:pPr>
        <w:jc w:val="center"/>
      </w:pPr>
      <w:r>
        <w:t>_______________________________________________</w:t>
      </w:r>
    </w:p>
    <w:p/>
    <w:p>
      <w:pPr>
        <w:jc w:val="center"/>
      </w:pPr>
      <w:r>
        <w:rPr>
          <w:b/>
        </w:rPr>
        <w:t>SUBSTITUTE SENATE BILL 5861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Dhingra, Rivers, Hunt, Wellman, Hasegawa, Darneille, Saldaña, Cleveland, Conway, Frockt, Keiser, Kuderer, Liias, Palumbo, Randall,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respectful workplace code of conduct provisions to all members of the legislative community; amending RCW 42.17A.105, 42.17A.600, 42.17A.605, and 42.17A.655; adding a new section to chapter 42.17A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Prepare and publish a manual setting forth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its enforcement by appropriate law enforcement authorities;</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t xml:space="preserve">(a) Ensure ease of access by the public to the reports; and</w:t>
      </w:r>
    </w:p>
    <w:p>
      <w:pPr>
        <w:spacing w:before="0" w:after="0" w:line="408" w:lineRule="exact"/>
        <w:ind w:left="0" w:right="0" w:firstLine="576"/>
        <w:jc w:val="left"/>
      </w:pPr>
      <w:r>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t xml:space="preserve">(10) Adopt rules to carry out the policies of chapter 348, Laws of 2006. The adoption of these rules is not subject to the time restrictions of RCW 42.17A.110(1);</w:t>
      </w:r>
    </w:p>
    <w:p>
      <w:pPr>
        <w:spacing w:before="0" w:after="0" w:line="408" w:lineRule="exact"/>
        <w:ind w:left="0" w:right="0" w:firstLine="576"/>
        <w:jc w:val="left"/>
      </w:pPr>
      <w:r>
        <w:rPr/>
        <w:t xml:space="preserve">(11) Adopt administrative rules establishing requirements for filer participation in any system designed and implemented by the commission for the electronic filing of reports; </w:t>
      </w:r>
      <w:r>
        <w:t>((</w:t>
      </w:r>
      <w:r>
        <w:rPr>
          <w:strike/>
        </w:rPr>
        <w:t xml:space="preserve">and</w:t>
      </w:r>
      <w:r>
        <w:t>))</w:t>
      </w:r>
    </w:p>
    <w:p>
      <w:pPr>
        <w:spacing w:before="0" w:after="0" w:line="408" w:lineRule="exact"/>
        <w:ind w:left="0" w:right="0" w:firstLine="576"/>
        <w:jc w:val="left"/>
      </w:pPr>
      <w:r>
        <w:rPr/>
        <w:t xml:space="preserve">(12) Maintain and make available to the public and political committees of this state a toll-free telephone number</w:t>
      </w:r>
      <w:r>
        <w:rPr>
          <w:u w:val="single"/>
        </w:rPr>
        <w:t xml:space="preserve">; and</w:t>
      </w:r>
    </w:p>
    <w:p>
      <w:pPr>
        <w:spacing w:before="0" w:after="0" w:line="408" w:lineRule="exact"/>
        <w:ind w:left="0" w:right="0" w:firstLine="576"/>
        <w:jc w:val="left"/>
      </w:pPr>
      <w:r>
        <w:rPr>
          <w:u w:val="single"/>
        </w:rPr>
        <w:t xml:space="preserve">(13) Develop a training course for the respectful workplace codes of conduct adopted by the house of representatives and the senate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his or her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and address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r>
        <w:rPr>
          <w:u w:val="single"/>
        </w:rPr>
        <w:t xml:space="preserve">;</w:t>
      </w:r>
    </w:p>
    <w:p>
      <w:pPr>
        <w:spacing w:before="0" w:after="0" w:line="408" w:lineRule="exact"/>
        <w:ind w:left="0" w:right="0" w:firstLine="576"/>
        <w:jc w:val="left"/>
      </w:pPr>
      <w:r>
        <w:rPr>
          <w:u w:val="single"/>
        </w:rPr>
        <w:t xml:space="preserve">(j) An attestation that the lobbyist has read and completed a training course on the respectful workplace codes of conduct adopted by the senate and the house of representatives</w:t>
      </w:r>
      <w:r>
        <w:rPr/>
        <w:t xml:space="preserve">.</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he or she registers submit to the commission a recent photograph of himself or herself of a size and format as determined by rule of the commission, together with the name of the lobbyist's employer, the length of his or her employment as a lobbyist before the legislature, a brief biographical description, and any other information he or she may wish to submit not to exceed fifty words in length. The photograph </w:t>
      </w:r>
      <w:r>
        <w:t>((</w:t>
      </w:r>
      <w:r>
        <w:rPr>
          <w:strike/>
        </w:rPr>
        <w:t xml:space="preserve">and</w:t>
      </w:r>
      <w:r>
        <w:t>))</w:t>
      </w:r>
      <w:r>
        <w:rPr>
          <w:u w:val="single"/>
        </w:rPr>
        <w:t xml:space="preserve">,</w:t>
      </w:r>
      <w:r>
        <w:rPr/>
        <w:t xml:space="preserve"> information</w:t>
      </w:r>
      <w:r>
        <w:rPr>
          <w:u w:val="single"/>
        </w:rPr>
        <w:t xml:space="preserve">, and attestation that the lobbyist has completed a training course on the respectful workplace codes of conduct adopted by the senate and the house of representatives</w:t>
      </w:r>
      <w:r>
        <w:rPr/>
        <w:t xml:space="preserve"> shall be published by the commission at least biennially in a booklet form for distribution to legislators and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2010 c 204 s 812 are each amended to read as follows:</w:t>
      </w:r>
    </w:p>
    <w:p>
      <w:pPr>
        <w:spacing w:before="0" w:after="0" w:line="408" w:lineRule="exact"/>
        <w:ind w:left="0" w:right="0" w:firstLine="576"/>
        <w:jc w:val="left"/>
      </w:pPr>
      <w:r>
        <w:rPr/>
        <w:t xml:space="preserve">(1) A person required to register as a lobbyist under RCW 42.17A.600 shall substantiate financial reports required to be made under this chapter with accounts, bills, receipts, books, papers, and other necessary documents.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his or her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his or her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his or her compensation is or will be contingent upon his or her success in influencing legislation.</w:t>
      </w:r>
    </w:p>
    <w:p>
      <w:pPr>
        <w:spacing w:before="0" w:after="0" w:line="408" w:lineRule="exact"/>
        <w:ind w:left="0" w:right="0" w:firstLine="576"/>
        <w:jc w:val="left"/>
      </w:pPr>
      <w:r>
        <w:rPr/>
        <w:t xml:space="preserve">(3) A violation by a lobbyist of this section shall be cause for revocation of his or her registration, and may subject the lobbyist and the lobbyist's employer, if the employer aids, abets, ratifies, or confirms the violation, to other civil liabilities as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Following a complaint and investigation under the respectful workplace policy of the senate or the house of representatives, if either chamber of the legislature finds that a lobbyist has violated the chamber's respectful workplace code of conduct, the commission shall notify each of the lobbyist's employers of the finding.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and 5 of this act take effect December 1, 2019.</w:t>
      </w:r>
    </w:p>
    <w:p/>
    <w:p>
      <w:pPr>
        <w:jc w:val="center"/>
      </w:pPr>
      <w:r>
        <w:rPr>
          <w:b/>
        </w:rPr>
        <w:t>--- END ---</w:t>
      </w:r>
    </w:p>
    <w:sectPr>
      <w:pgNumType w:start="1"/>
      <w:footerReference xmlns:r="http://schemas.openxmlformats.org/officeDocument/2006/relationships" r:id="R88e93b86cc404f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7122126bf84742" /><Relationship Type="http://schemas.openxmlformats.org/officeDocument/2006/relationships/footer" Target="/word/footer1.xml" Id="R88e93b86cc404fb2" /></Relationships>
</file>