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d004d720274fae" /></Relationships>
</file>

<file path=word/document.xml><?xml version="1.0" encoding="utf-8"?>
<w:document xmlns:w="http://schemas.openxmlformats.org/wordprocessingml/2006/main">
  <w:body>
    <w:p>
      <w:r>
        <w:t>S-1828.1</w:t>
      </w:r>
    </w:p>
    <w:p>
      <w:pPr>
        <w:jc w:val="center"/>
      </w:pPr>
      <w:r>
        <w:t>_______________________________________________</w:t>
      </w:r>
    </w:p>
    <w:p/>
    <w:p>
      <w:pPr>
        <w:jc w:val="center"/>
      </w:pPr>
      <w:r>
        <w:rPr>
          <w:b/>
        </w:rPr>
        <w:t>SUBSTITUTE SENATE BILL 5838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Rolfes, and Nguyen)</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correctional industries; and amending RCW 72.09.015, 72.09.070, and 72.09.080.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2013 c 39 s 22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offenders.</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inmate that is based on, or arises from, injury to the correctional officer or department employee caused by the inmate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inmate and a member of his or her immediate family that occurs in a private visiting unit located at the correctional facility where the inmate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inmate's children, stepchildren, grandchildren, great grandchildren, parents, stepparents, grandparents, great grandparents, siblings, and a person legally married to or in a state registered domestic partnership with an inmate. "Immediate family" does not include an inmate adopted by another inmate or the immediate family of the adopted or adopting inmate.</w:t>
      </w:r>
    </w:p>
    <w:p>
      <w:pPr>
        <w:spacing w:before="0" w:after="0" w:line="408" w:lineRule="exact"/>
        <w:ind w:left="0" w:right="0" w:firstLine="576"/>
        <w:jc w:val="left"/>
      </w:pPr>
      <w:r>
        <w:rPr/>
        <w:t xml:space="preserve">(15) "Indigent inmate," "indigent," and "indigency" mean an inmate who has less than a ten-dollar balance of disposable income in his or her institutional account on the day a request is made to utilize funds and during the thirty days previous to the request.</w:t>
      </w:r>
    </w:p>
    <w:p>
      <w:pPr>
        <w:spacing w:before="0" w:after="0" w:line="408" w:lineRule="exact"/>
        <w:ind w:left="0" w:right="0" w:firstLine="576"/>
        <w:jc w:val="left"/>
      </w:pPr>
      <w:r>
        <w:rPr/>
        <w:t xml:space="preserve">(16) "Individual reentry plan" means the plan to prepare an offender for release into the community. It should be developed collaboratively between the department and the offender and based on an assessment of the offender using a standardized and comprehensive tool to identify the offender's risks and needs. The individual reentry plan describes actions that should occur to prepare individual offenders for release from prison or jail, specifies the supervision and services they will experience in the community, and describes an offender's eventual discharge to aftercare upon successful completion of supervision. An individual reentry plan is updated throughout the period of an offender's incarceration and supervision to be relevant to the offender's current needs and risks.</w:t>
      </w:r>
    </w:p>
    <w:p>
      <w:pPr>
        <w:spacing w:before="0" w:after="0" w:line="408" w:lineRule="exact"/>
        <w:ind w:left="0" w:right="0" w:firstLine="576"/>
        <w:jc w:val="left"/>
      </w:pPr>
      <w:r>
        <w:rPr/>
        <w:t xml:space="preserve">(17) "Inmate" means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offender or limit an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offender who is unwilling to leave the area voluntarily; or</w:t>
      </w:r>
    </w:p>
    <w:p>
      <w:pPr>
        <w:spacing w:before="0" w:after="0" w:line="408" w:lineRule="exact"/>
        <w:ind w:left="0" w:right="0" w:firstLine="576"/>
        <w:jc w:val="left"/>
      </w:pPr>
      <w:r>
        <w:rPr/>
        <w:t xml:space="preserve">(c) Guide an offender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inmate's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0" w:after="0" w:line="408" w:lineRule="exact"/>
        <w:ind w:left="0" w:right="0" w:firstLine="576"/>
        <w:jc w:val="left"/>
      </w:pPr>
      <w:r>
        <w:rPr>
          <w:u w:val="single"/>
        </w:rPr>
        <w:t xml:space="preserve">(33) "Market share" means the percentage of a Class II industry's gross business income earned over one year compared to the total gross business income of all comparable correctional industries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070</w:t>
      </w:r>
      <w:r>
        <w:rPr/>
        <w:t xml:space="preserve"> and 2011 1st sp.s. c 21 s 35 are each amended to read as follows:</w:t>
      </w:r>
    </w:p>
    <w:p>
      <w:pPr>
        <w:spacing w:before="0" w:after="0" w:line="408" w:lineRule="exact"/>
        <w:ind w:left="0" w:right="0" w:firstLine="576"/>
        <w:jc w:val="left"/>
      </w:pPr>
      <w:r>
        <w:rPr>
          <w:u w:val="single"/>
        </w:rPr>
        <w:t xml:space="preserve">(1)</w:t>
      </w:r>
      <w:r>
        <w:rPr/>
        <w:t xml:space="preserve"> There is created a correctional industries </w:t>
      </w:r>
      <w:r>
        <w:t>((</w:t>
      </w:r>
      <w:r>
        <w:rPr>
          <w:strike/>
        </w:rPr>
        <w:t xml:space="preserve">advisory</w:t>
      </w:r>
      <w:r>
        <w:t>))</w:t>
      </w:r>
      <w:r>
        <w:rPr/>
        <w:t xml:space="preserve"> committee which shall have the composition provided in RCW 72.09.080. The </w:t>
      </w:r>
      <w:r>
        <w:t>((</w:t>
      </w:r>
      <w:r>
        <w:rPr>
          <w:strike/>
        </w:rPr>
        <w:t xml:space="preserve">advisory</w:t>
      </w:r>
      <w:r>
        <w:t>))</w:t>
      </w:r>
      <w:r>
        <w:rPr/>
        <w:t xml:space="preserve"> committee shall make recommendations to the secretary regarding the implementation of RCW 72.09.100.</w:t>
      </w:r>
    </w:p>
    <w:p>
      <w:pPr>
        <w:spacing w:before="0" w:after="0" w:line="408" w:lineRule="exact"/>
        <w:ind w:left="0" w:right="0" w:firstLine="576"/>
        <w:jc w:val="left"/>
      </w:pPr>
      <w:r>
        <w:rPr>
          <w:u w:val="single"/>
        </w:rPr>
        <w:t xml:space="preserve">(2) The correctional industries committee shall set the market share thresholds by respective industry every two years, and shall consider a variety of factors when making the decision, including but not limited to gross business income in Washington state and the number of business reporting income for each respective correctional industry, and may include input from the business community, and any other relevant factors. The committee shall provide written notice of the determined market share thresholds by respective correctional industry, and the factors used to determine the thresholds, to the legislature within thirty days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080</w:t>
      </w:r>
      <w:r>
        <w:rPr/>
        <w:t xml:space="preserve"> and 2011 1st sp.s. c 21 s 40 are each amended to read as follows:</w:t>
      </w:r>
    </w:p>
    <w:p>
      <w:pPr>
        <w:spacing w:before="0" w:after="0" w:line="408" w:lineRule="exact"/>
        <w:ind w:left="0" w:right="0" w:firstLine="576"/>
        <w:jc w:val="left"/>
      </w:pPr>
      <w:r>
        <w:rPr/>
        <w:t xml:space="preserve">(1) The correctional industries </w:t>
      </w:r>
      <w:r>
        <w:t>((</w:t>
      </w:r>
      <w:r>
        <w:rPr>
          <w:strike/>
        </w:rPr>
        <w:t xml:space="preserve">advisory</w:t>
      </w:r>
      <w:r>
        <w:t>))</w:t>
      </w:r>
      <w:r>
        <w:rPr/>
        <w:t xml:space="preserve"> committee shall consist of nine voting members, appointed by the secretary. Each member shall serve a three-year staggered term. The speaker of the house of representatives and the president of the senate shall each appoint one member from each of the two largest caucuses in their respective houses. The legislators so appointed shall be nonvoting members and shall serve two-year terms, or until they cease to be members of the house from which they were appointed, whichever occurs first. The nine members appointed by the secretary shall include three representatives from labor, three representatives from business representing cross-sections of industries and all sizes of employers, and three members from the general public.</w:t>
      </w:r>
    </w:p>
    <w:p>
      <w:pPr>
        <w:spacing w:before="0" w:after="0" w:line="408" w:lineRule="exact"/>
        <w:ind w:left="0" w:right="0" w:firstLine="576"/>
        <w:jc w:val="left"/>
      </w:pPr>
      <w:r>
        <w:rPr/>
        <w:t xml:space="preserve">(2) The committee shall elect a chair and such other officers as it deems appropriate from among the voting members.</w:t>
      </w:r>
    </w:p>
    <w:p>
      <w:pPr>
        <w:spacing w:before="0" w:after="0" w:line="408" w:lineRule="exact"/>
        <w:ind w:left="0" w:right="0" w:firstLine="576"/>
        <w:jc w:val="left"/>
      </w:pPr>
      <w:r>
        <w:rPr/>
        <w:t xml:space="preserve">(3) The voting members of the committee shall serve with compensation pursuant to RCW 43.03.240 and shall be reimbursed by the department for travel expenses and per diem under RCW 43.03.050 and 43.03.060, as now or hereafter amended. Legislative members shall be reimbursed under RCW 44.04.120, as now or hereafter amended.</w:t>
      </w:r>
    </w:p>
    <w:p>
      <w:pPr>
        <w:spacing w:before="0" w:after="0" w:line="408" w:lineRule="exact"/>
        <w:ind w:left="0" w:right="0" w:firstLine="576"/>
        <w:jc w:val="left"/>
      </w:pPr>
      <w:r>
        <w:rPr/>
        <w:t xml:space="preserve">(4) The secretary shall provide such staff services, facilities, and equipment as the </w:t>
      </w:r>
      <w:r>
        <w:t>((</w:t>
      </w:r>
      <w:r>
        <w:rPr>
          <w:strike/>
        </w:rPr>
        <w:t xml:space="preserve">board</w:t>
      </w:r>
      <w:r>
        <w:t>))</w:t>
      </w:r>
      <w:r>
        <w:rPr/>
        <w:t xml:space="preserve"> </w:t>
      </w:r>
      <w:r>
        <w:rPr>
          <w:u w:val="single"/>
        </w:rPr>
        <w:t xml:space="preserve">committee</w:t>
      </w:r>
      <w:r>
        <w:rPr/>
        <w:t xml:space="preserve"> shall require to carry out its duties.</w:t>
      </w:r>
    </w:p>
    <w:p/>
    <w:p>
      <w:pPr>
        <w:jc w:val="center"/>
      </w:pPr>
      <w:r>
        <w:rPr>
          <w:b/>
        </w:rPr>
        <w:t>--- END ---</w:t>
      </w:r>
    </w:p>
    <w:sectPr>
      <w:pgNumType w:start="1"/>
      <w:footerReference xmlns:r="http://schemas.openxmlformats.org/officeDocument/2006/relationships" r:id="R47812e7559c04c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f1f42718b94add" /><Relationship Type="http://schemas.openxmlformats.org/officeDocument/2006/relationships/footer" Target="/word/footer1.xml" Id="R47812e7559c04c2f" /></Relationships>
</file>