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85ba9d6c54e32" /></Relationships>
</file>

<file path=word/document.xml><?xml version="1.0" encoding="utf-8"?>
<w:document xmlns:w="http://schemas.openxmlformats.org/wordprocessingml/2006/main">
  <w:body>
    <w:p>
      <w:r>
        <w:t>S-2472.2</w:t>
      </w:r>
    </w:p>
    <w:p>
      <w:pPr>
        <w:jc w:val="center"/>
      </w:pPr>
      <w:r>
        <w:t>_______________________________________________</w:t>
      </w:r>
    </w:p>
    <w:p/>
    <w:p>
      <w:pPr>
        <w:jc w:val="center"/>
      </w:pPr>
      <w:r>
        <w:rPr>
          <w:b/>
        </w:rPr>
        <w:t>SECOND SUBSTITUTE SENATE BILL 5822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Randall, Frockt, Cleveland, Wilson, C., Salomon, Nguyen, Hasegawa, Keiser, Saldaña, Van De Wege, Liias, Das, Darneille, Dhingra,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establish a universal health care system for the residents of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Health care is a human right and it is in the public interest that all residents have access to health care that improves health outcomes, contains health care costs for the state and its residents, and reduces health disparities;</w:t>
      </w:r>
    </w:p>
    <w:p>
      <w:pPr>
        <w:spacing w:before="0" w:after="0" w:line="408" w:lineRule="exact"/>
        <w:ind w:left="0" w:right="0" w:firstLine="576"/>
        <w:jc w:val="left"/>
      </w:pPr>
      <w:r>
        <w:rPr/>
        <w:t xml:space="preserve">(b) The legislature intends to control health care costs so that Washington is able to achieve a sustainable health care system with more equitable access to quality health care;</w:t>
      </w:r>
    </w:p>
    <w:p>
      <w:pPr>
        <w:spacing w:before="0" w:after="0" w:line="408" w:lineRule="exact"/>
        <w:ind w:left="0" w:right="0" w:firstLine="576"/>
        <w:jc w:val="left"/>
      </w:pPr>
      <w:r>
        <w:rPr/>
        <w:t xml:space="preserve">(c) H.R. 6097, the state-based universal health care act of 2018 was proposed to establish a flexible framework under which states could provide comprehensive universal health coverage to all of their residents;</w:t>
      </w:r>
    </w:p>
    <w:p>
      <w:pPr>
        <w:spacing w:before="0" w:after="0" w:line="408" w:lineRule="exact"/>
        <w:ind w:left="0" w:right="0" w:firstLine="576"/>
        <w:jc w:val="left"/>
      </w:pPr>
      <w:r>
        <w:rPr/>
        <w:t xml:space="preserve">(d) It is prudent for the state to explore mechanisms to operate and fund such a program if H.R. 6097 or similar federal legislation is enacted; and</w:t>
      </w:r>
    </w:p>
    <w:p>
      <w:pPr>
        <w:spacing w:before="0" w:after="0" w:line="408" w:lineRule="exact"/>
        <w:ind w:left="0" w:right="0" w:firstLine="576"/>
        <w:jc w:val="left"/>
      </w:pPr>
      <w:r>
        <w:rPr/>
        <w:t xml:space="preserve">(e) Despite the progress Washington has made since the enactment of the patient protection and affordable care act, not all state residents can access or afford health coverage in the current market. As of 2017, four hundred thousand Washington residents remained uninsured, and a growing number go without care because of growing health care costs.</w:t>
      </w:r>
    </w:p>
    <w:p>
      <w:pPr>
        <w:spacing w:before="0" w:after="0" w:line="408" w:lineRule="exact"/>
        <w:ind w:left="0" w:right="0" w:firstLine="576"/>
        <w:jc w:val="left"/>
      </w:pPr>
      <w:r>
        <w:rPr/>
        <w:t xml:space="preserve">(2) The legislature therefore declares its intent to provide a policy and financial framework for how the state could achieve universal coverage and equitable access and outcomes for all residents in the future, while concurrently evaluating efforts to ensure statewide affordable access and improvements to coverage for all residents in the preceding years through a public option and standardizing benefit plan designs.</w:t>
      </w:r>
    </w:p>
    <w:p>
      <w:pPr>
        <w:spacing w:before="0" w:after="0" w:line="408" w:lineRule="exact"/>
        <w:ind w:left="0" w:right="0" w:firstLine="576"/>
        <w:jc w:val="left"/>
      </w:pPr>
      <w:r>
        <w:rPr/>
        <w:t xml:space="preserve">(3) This section does not create any new entitlement to services or cause of action under this act, and cannot form the basis for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work group on establishing a universal health care system in Washington.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(a) Consumers, patients, and the general public;</w:t>
      </w:r>
    </w:p>
    <w:p>
      <w:pPr>
        <w:spacing w:before="0" w:after="0" w:line="408" w:lineRule="exact"/>
        <w:ind w:left="0" w:right="0" w:firstLine="576"/>
        <w:jc w:val="left"/>
      </w:pPr>
      <w:r>
        <w:rPr/>
        <w:t xml:space="preserve">(b) Patient advocates and community health advocates;</w:t>
      </w:r>
    </w:p>
    <w:p>
      <w:pPr>
        <w:spacing w:before="0" w:after="0" w:line="408" w:lineRule="exact"/>
        <w:ind w:left="0" w:right="0" w:firstLine="576"/>
        <w:jc w:val="left"/>
      </w:pPr>
      <w:r>
        <w:rPr/>
        <w:t xml:space="preserve">(c) Large and small businesses with experience with large and small group insurance and self-insured models;</w:t>
      </w:r>
    </w:p>
    <w:p>
      <w:pPr>
        <w:spacing w:before="0" w:after="0" w:line="408" w:lineRule="exact"/>
        <w:ind w:left="0" w:right="0" w:firstLine="576"/>
        <w:jc w:val="left"/>
      </w:pPr>
      <w:r>
        <w:rPr/>
        <w:t xml:space="preserve">(d) Labor, including experience with Taft-Hartley coverage;</w:t>
      </w:r>
    </w:p>
    <w:p>
      <w:pPr>
        <w:spacing w:before="0" w:after="0" w:line="408" w:lineRule="exact"/>
        <w:ind w:left="0" w:right="0" w:firstLine="576"/>
        <w:jc w:val="left"/>
      </w:pPr>
      <w:r>
        <w:rPr/>
        <w:t xml:space="preserve">(e) Health care providers that are self-employed and health care providers that are otherwise employed;</w:t>
      </w:r>
    </w:p>
    <w:p>
      <w:pPr>
        <w:spacing w:before="0" w:after="0" w:line="408" w:lineRule="exact"/>
        <w:ind w:left="0" w:right="0" w:firstLine="576"/>
        <w:jc w:val="left"/>
      </w:pPr>
      <w:r>
        <w:rPr/>
        <w:t xml:space="preserve">(f) Health care facilities such as hospitals and clinics;</w:t>
      </w:r>
    </w:p>
    <w:p>
      <w:pPr>
        <w:spacing w:before="0" w:after="0" w:line="408" w:lineRule="exact"/>
        <w:ind w:left="0" w:right="0" w:firstLine="576"/>
        <w:jc w:val="left"/>
      </w:pPr>
      <w:r>
        <w:rPr/>
        <w:t xml:space="preserve">(g) Health insurance carriers;</w:t>
      </w:r>
    </w:p>
    <w:p>
      <w:pPr>
        <w:spacing w:before="0" w:after="0" w:line="408" w:lineRule="exact"/>
        <w:ind w:left="0" w:right="0" w:firstLine="576"/>
        <w:jc w:val="left"/>
      </w:pPr>
      <w:r>
        <w:rPr/>
        <w:t xml:space="preserve">(h)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 Legislators from each caucus of the house of representatives and senate.</w:t>
      </w:r>
    </w:p>
    <w:p>
      <w:pPr>
        <w:spacing w:before="0" w:after="0" w:line="408" w:lineRule="exact"/>
        <w:ind w:left="0" w:right="0" w:firstLine="576"/>
        <w:jc w:val="left"/>
      </w:pPr>
      <w:r>
        <w:rPr/>
        <w:t xml:space="preserve">(2)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(a) Options for increasing coverage and access for uninsured and underinsured populations;</w:t>
      </w:r>
    </w:p>
    <w:p>
      <w:pPr>
        <w:spacing w:before="0" w:after="0" w:line="408" w:lineRule="exact"/>
        <w:ind w:left="0" w:right="0" w:firstLine="576"/>
        <w:jc w:val="left"/>
      </w:pPr>
      <w:r>
        <w:rPr/>
        <w:t xml:space="preserve">(b)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(c)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(d)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(e) Options to expand or establish health care purchasing in collaboration with neighboring states; and</w:t>
      </w:r>
    </w:p>
    <w:p>
      <w:pPr>
        <w:spacing w:before="0" w:after="0" w:line="408" w:lineRule="exact"/>
        <w:ind w:left="0" w:right="0" w:firstLine="576"/>
        <w:jc w:val="left"/>
      </w:pPr>
      <w:r>
        <w:rPr/>
        <w:t xml:space="preserve">(f) Options for revenue and financing mechanisms to fund the universal health care system. If funds are appropriated specifically for this purpose, the work group shall contract with one or more consultants to perform any actuarial and financial analyses necessary to develop options under this subsection (2)(f).</w:t>
      </w:r>
    </w:p>
    <w:p>
      <w:pPr>
        <w:spacing w:before="0" w:after="0" w:line="408" w:lineRule="exact"/>
        <w:ind w:left="0" w:right="0" w:firstLine="576"/>
        <w:jc w:val="left"/>
      </w:pPr>
      <w:r>
        <w:rPr/>
        <w:t xml:space="preserve">(3)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(4) This section expires January 1, 2021.</w:t>
      </w:r>
    </w:p>
    <w:p/>
    <w:p>
      <w:pPr>
        <w:jc w:val="center"/>
      </w:pPr>
      <w:r>
        <w:rPr>
          <w:b/>
        </w:rPr>
        <w:t>--- END ---</w:t>
      </w:r>
    </w:p>
    <w:sectPr>
      <w:pgNumType w:start="1"/>
      <w:footerReference xmlns:r="http://schemas.openxmlformats.org/officeDocument/2006/relationships" r:id="Rb7ea1cec5f5247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ee81bbf44453c" /><Relationship Type="http://schemas.openxmlformats.org/officeDocument/2006/relationships/footer" Target="/word/footer1.xml" Id="Rb7ea1cec5f524738" /></Relationships>
</file>