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d27882ef684e85" /></Relationships>
</file>

<file path=word/document.xml><?xml version="1.0" encoding="utf-8"?>
<w:document xmlns:w="http://schemas.openxmlformats.org/wordprocessingml/2006/main">
  <w:body>
    <w:p>
      <w:r>
        <w:t>S-5743.4</w:t>
      </w:r>
    </w:p>
    <w:p>
      <w:pPr>
        <w:jc w:val="center"/>
      </w:pPr>
      <w:r>
        <w:t>_______________________________________________</w:t>
      </w:r>
    </w:p>
    <w:p/>
    <w:p>
      <w:pPr>
        <w:jc w:val="center"/>
      </w:pPr>
      <w:r>
        <w:rPr>
          <w:b/>
        </w:rPr>
        <w:t>SUBSTITUTE SENATE BILL 5789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Liias, Nguyen, Saldaña,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additional uses for automated traffic safety cameras for traffic congestion reduction and increased safety; amending RCW 46.63.170; adding a new section to chapter 46.68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Except for proposed locations used solely for the pilot program purposes permitted under subsection (6) of this section, the</w:t>
      </w:r>
      <w:r>
        <w:rPr/>
        <w:t xml:space="preserv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w:t>
      </w:r>
      <w:r>
        <w:t>((</w:t>
      </w:r>
      <w:r>
        <w:rPr>
          <w:strike/>
        </w:rPr>
        <w:t xml:space="preserve">or</w:t>
      </w:r>
      <w:r>
        <w:t>))</w:t>
      </w:r>
      <w:r>
        <w:rPr/>
        <w:t xml:space="preserve"> speed violations subject to (c) of this subsection</w:t>
      </w:r>
      <w:r>
        <w:rPr>
          <w:u w:val="single"/>
        </w:rPr>
        <w:t xml:space="preserve">; or violations included in subsection (6) of this section for the duration of the pilot program authorized under subsection (6) of this 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Except as provided in (c) of this subsection </w:t>
      </w:r>
      <w:r>
        <w:rPr>
          <w:u w:val="single"/>
        </w:rPr>
        <w:t xml:space="preserve">and subsection (6) of this section</w:t>
      </w:r>
      <w:r>
        <w:rPr/>
        <w:t xml:space="preserve">, use of automated traffic safety cameras is restricted to the following locations only: (i) Intersections of two </w:t>
      </w:r>
      <w:r>
        <w:rPr>
          <w:u w:val="single"/>
        </w:rPr>
        <w:t xml:space="preserve">or more</w:t>
      </w:r>
      <w:r>
        <w:rPr/>
        <w:t xml:space="preserve">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w:t>
      </w:r>
      <w:r>
        <w:rPr>
          <w:u w:val="single"/>
        </w:rPr>
        <w:t xml:space="preserve">, or any other personally identifying data</w:t>
      </w:r>
      <w:r>
        <w:rPr/>
        <w:t xml:space="preserve">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w:t>
      </w:r>
      <w:r>
        <w:rPr>
          <w:u w:val="single"/>
        </w:rPr>
        <w:t xml:space="preserve">, or any other personally identifying data</w:t>
      </w:r>
      <w:r>
        <w:rPr/>
        <w:t xml:space="preserv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w:t>
      </w:r>
      <w:r>
        <w:t>((</w:t>
      </w:r>
      <w:r>
        <w:rPr>
          <w:strike/>
        </w:rPr>
        <w:t xml:space="preserve">The</w:t>
      </w:r>
      <w:r>
        <w:t>))</w:t>
      </w:r>
      <w:r>
        <w:rPr/>
        <w:t xml:space="preserve"> </w:t>
      </w:r>
      <w:r>
        <w:rPr>
          <w:u w:val="single"/>
        </w:rPr>
        <w:t xml:space="preserve">Except as provided otherwise in subsection (6) of this section, the</w:t>
      </w:r>
      <w:r>
        <w:rPr/>
        <w:t xml:space="preserv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w:t>
      </w:r>
      <w:r>
        <w:rPr>
          <w:u w:val="single"/>
        </w:rPr>
        <w:t xml:space="preserve">(a)</w:t>
      </w:r>
      <w:r>
        <w:rPr/>
        <w:t xml:space="preserve">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u w:val="single"/>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 </w:t>
      </w:r>
      <w:r>
        <w:t>((</w:t>
      </w:r>
      <w:r>
        <w:rPr>
          <w:strike/>
        </w:rPr>
        <w:t xml:space="preserve">During the 2011-2013 and 2013-2015 fiscal biennia, this section does not apply to automated traffic safety cameras for the purposes of section 216(5), chapter 367, Laws of 2011 and section 216(6), chapter 306, Laws of 2013.</w:t>
      </w:r>
      <w:r>
        <w:t>))</w:t>
      </w:r>
      <w:r>
        <w:rPr/>
        <w:t xml:space="preserve"> </w:t>
      </w:r>
      <w:r>
        <w:rPr>
          <w:u w:val="single"/>
        </w:rPr>
        <w:t xml:space="preserve">(a)(i) A city with a population greater than five hundred thousand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twenty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u w:val="single"/>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u w:val="single"/>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u w:val="single"/>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u w:val="single"/>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u w:val="single"/>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u w:val="single"/>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u w:val="single"/>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u w:val="single"/>
        </w:rPr>
        <w:t xml:space="preserve">(c) However, automated traffic safety cameras may not be used on an on-ramp to an interstate.</w:t>
      </w:r>
    </w:p>
    <w:p>
      <w:pPr>
        <w:spacing w:before="0" w:after="0" w:line="408" w:lineRule="exact"/>
        <w:ind w:left="0" w:right="0" w:firstLine="576"/>
        <w:jc w:val="left"/>
      </w:pPr>
      <w:r>
        <w:rPr>
          <w:u w:val="single"/>
        </w:rPr>
        <w:t xml:space="preserve">(d) From the effective date of this section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(1)(e) and (3) of this section, for a violation generated through the use of an automated traffic safety camera authorized in this subsection (6). However, the penalty for the violation may not exceed seventy-five dollars.</w:t>
      </w:r>
    </w:p>
    <w:p>
      <w:pPr>
        <w:spacing w:before="0" w:after="0" w:line="408" w:lineRule="exact"/>
        <w:ind w:left="0" w:right="0" w:firstLine="576"/>
        <w:jc w:val="left"/>
      </w:pPr>
      <w:r>
        <w:rPr>
          <w:u w:val="single"/>
        </w:rPr>
        <w:t xml:space="preserve">(e) For infractions issued as authorized in this subsection (6), a city with a pilot program shall remit monthly to the state fifty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section 2 of this act. The remaining fifty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u w:val="single"/>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u w:val="single"/>
        </w:rPr>
        <w:t xml:space="preserve">(g) A city that implements a pilot program under this subsection (6) must provide a preliminary report to the transportation committees of the legislature by June 30, 2022, and a final report by January 1, 2023,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46.63.170(6)(e) shall be deposited into the account. Expenditures from the account may be used only to fund grant projects or programs for bicycle, pedestrian, and nonmotorist safety improvement administered by the Washington traffic safety commission. The account is subject to allotment procedures under chapter 43.88 RCW.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2023.</w:t>
      </w:r>
    </w:p>
    <w:p/>
    <w:p>
      <w:pPr>
        <w:jc w:val="center"/>
      </w:pPr>
      <w:r>
        <w:rPr>
          <w:b/>
        </w:rPr>
        <w:t>--- END ---</w:t>
      </w:r>
    </w:p>
    <w:sectPr>
      <w:pgNumType w:start="1"/>
      <w:footerReference xmlns:r="http://schemas.openxmlformats.org/officeDocument/2006/relationships" r:id="Rca48163efb9748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daa7e28a564b09" /><Relationship Type="http://schemas.openxmlformats.org/officeDocument/2006/relationships/footer" Target="/word/footer1.xml" Id="Rca48163efb974856" /></Relationships>
</file>