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aefaba11b14724" /></Relationships>
</file>

<file path=word/document.xml><?xml version="1.0" encoding="utf-8"?>
<w:document xmlns:w="http://schemas.openxmlformats.org/wordprocessingml/2006/main">
  <w:body>
    <w:p>
      <w:r>
        <w:t>S-1876.2</w:t>
      </w:r>
    </w:p>
    <w:p>
      <w:pPr>
        <w:jc w:val="center"/>
      </w:pPr>
      <w:r>
        <w:t>_______________________________________________</w:t>
      </w:r>
    </w:p>
    <w:p/>
    <w:p>
      <w:pPr>
        <w:jc w:val="center"/>
      </w:pPr>
      <w:r>
        <w:rPr>
          <w:b/>
        </w:rPr>
        <w:t>SUBSTITUTE SENATE BILL 5733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Saldaña, Nguyen,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tenants in residential tenancies; amending RCW 59.12.030 and 59.18.200;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to study and make recommendations on just cause evictions for the protection of tenants in residential tenancies is hereby created. The work group membership shall consist of:</w:t>
      </w:r>
    </w:p>
    <w:p>
      <w:pPr>
        <w:spacing w:before="0" w:after="0" w:line="408" w:lineRule="exact"/>
        <w:ind w:left="0" w:right="0" w:firstLine="576"/>
        <w:jc w:val="left"/>
      </w:pPr>
      <w:r>
        <w:rPr/>
        <w:t xml:space="preserve">(a) The director of the department of commerce or his or her designee;</w:t>
      </w:r>
    </w:p>
    <w:p>
      <w:pPr>
        <w:spacing w:before="0" w:after="0" w:line="408" w:lineRule="exact"/>
        <w:ind w:left="0" w:right="0" w:firstLine="576"/>
        <w:jc w:val="left"/>
      </w:pPr>
      <w:r>
        <w:rPr/>
        <w:t xml:space="preserve">(b) Two members of the senate, appointed by the president of the senate, and representing each of the two largest caucuses of the senate;</w:t>
      </w:r>
    </w:p>
    <w:p>
      <w:pPr>
        <w:spacing w:before="0" w:after="0" w:line="408" w:lineRule="exact"/>
        <w:ind w:left="0" w:right="0" w:firstLine="576"/>
        <w:jc w:val="left"/>
      </w:pPr>
      <w:r>
        <w:rPr/>
        <w:t xml:space="preserve">(c) Two members of the house of representatives, appointed by the speaker of the house of representatives, representing each of the two largest caucuses of the house of representatives;</w:t>
      </w:r>
    </w:p>
    <w:p>
      <w:pPr>
        <w:spacing w:before="0" w:after="0" w:line="408" w:lineRule="exact"/>
        <w:ind w:left="0" w:right="0" w:firstLine="576"/>
        <w:jc w:val="left"/>
      </w:pPr>
      <w:r>
        <w:rPr/>
        <w:t xml:space="preserve">(d) Three representatives representing tenants; and</w:t>
      </w:r>
    </w:p>
    <w:p>
      <w:pPr>
        <w:spacing w:before="0" w:after="0" w:line="408" w:lineRule="exact"/>
        <w:ind w:left="0" w:right="0" w:firstLine="576"/>
        <w:jc w:val="left"/>
      </w:pPr>
      <w:r>
        <w:rPr/>
        <w:t xml:space="preserve">(e) Three representatives representing landlords.</w:t>
      </w:r>
    </w:p>
    <w:p>
      <w:pPr>
        <w:spacing w:before="0" w:after="0" w:line="408" w:lineRule="exact"/>
        <w:ind w:left="0" w:right="0" w:firstLine="576"/>
        <w:jc w:val="left"/>
      </w:pPr>
      <w:r>
        <w:rPr/>
        <w:t xml:space="preserve">(2) A chair shall be chosen from among the work group's membership.</w:t>
      </w:r>
    </w:p>
    <w:p>
      <w:pPr>
        <w:spacing w:before="0" w:after="0" w:line="408" w:lineRule="exact"/>
        <w:ind w:left="0" w:right="0" w:firstLine="576"/>
        <w:jc w:val="left"/>
      </w:pPr>
      <w:r>
        <w:rPr/>
        <w:t xml:space="preserve">(3) The work group shall function within existing resources.</w:t>
      </w:r>
    </w:p>
    <w:p>
      <w:pPr>
        <w:spacing w:before="0" w:after="0" w:line="408" w:lineRule="exact"/>
        <w:ind w:left="0" w:right="0" w:firstLine="576"/>
        <w:jc w:val="left"/>
      </w:pPr>
      <w:r>
        <w:rPr/>
        <w:t xml:space="preserve">(4) The department of commerce shall convene the first meeting of the work group.</w:t>
      </w:r>
    </w:p>
    <w:p>
      <w:pPr>
        <w:spacing w:before="0" w:after="0" w:line="408" w:lineRule="exact"/>
        <w:ind w:left="0" w:right="0" w:firstLine="576"/>
        <w:jc w:val="left"/>
      </w:pPr>
      <w:r>
        <w:rPr/>
        <w:t xml:space="preserve">(5) The work group shall review and make recommendations on the notice required by a landlord to a tenant before terminating tenancy. The work group may also review the residential landlord-tenant act in chapter 59.18 RCW against similar laws in other states and jurisdictions, and make recommendations based on its findings.</w:t>
      </w:r>
    </w:p>
    <w:p>
      <w:pPr>
        <w:spacing w:before="0" w:after="0" w:line="408" w:lineRule="exact"/>
        <w:ind w:left="0" w:right="0" w:firstLine="576"/>
        <w:jc w:val="left"/>
      </w:pPr>
      <w:r>
        <w:rPr/>
        <w:t xml:space="preserve">(6) The work group shall submit, in compliance with RCW 43.01.036, a report of its findings and recommendations for legislation to the appropriate committees of the legislature by December 1, 2019.</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guilty of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w:t>
      </w:r>
      <w:r>
        <w:rPr>
          <w:u w:val="single"/>
        </w:rPr>
        <w:t xml:space="preserve">or more than fifty days prior to the end of such month or period for tenancies under chapter 59.18 RCW</w:t>
      </w:r>
      <w:r>
        <w:rPr/>
        <w:t xml:space="preserve">,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2008 c 113 s 4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 by written notice of twenty days or more, preceding the end of any of the months or periods of tenancy, </w:t>
      </w:r>
      <w:r>
        <w:t>((</w:t>
      </w:r>
      <w:r>
        <w:rPr>
          <w:strike/>
        </w:rPr>
        <w:t xml:space="preserve">given</w:t>
      </w:r>
      <w:r>
        <w:t>))</w:t>
      </w:r>
      <w:r>
        <w:rPr/>
        <w:t xml:space="preserve"> by </w:t>
      </w:r>
      <w:r>
        <w:t>((</w:t>
      </w:r>
      <w:r>
        <w:rPr>
          <w:strike/>
        </w:rPr>
        <w:t xml:space="preserve">either party to</w:t>
      </w:r>
      <w:r>
        <w:t>))</w:t>
      </w:r>
      <w:r>
        <w:rPr/>
        <w:t xml:space="preserve"> the </w:t>
      </w:r>
      <w:r>
        <w:t>((</w:t>
      </w:r>
      <w:r>
        <w:rPr>
          <w:strike/>
        </w:rPr>
        <w:t xml:space="preserve">other</w:t>
      </w:r>
      <w:r>
        <w:t>))</w:t>
      </w:r>
      <w:r>
        <w:rPr/>
        <w:t xml:space="preserve"> </w:t>
      </w:r>
      <w:r>
        <w:rPr>
          <w:u w:val="single"/>
        </w:rPr>
        <w:t xml:space="preserve">tenant. A landlord must give written notice of fifty days or more before a tenancy may be terminated</w:t>
      </w:r>
      <w:r>
        <w:rPr/>
        <w:t xml:space="preserve">.</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twenty days' notice if the tenant receives reassignment or deployment orders that do not allow a twenty-day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ninety days before termination of the tenancy to effectuate such change in policy. Such ninety-day notice shall be in lieu of the notice required by subsection (1) of this section. However, if after giving the ninety-day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one hundred twenty days before termination of the tenancy, in compliance with RCW 64.34.440(1), to effectuate such change. The one hundred twenty-day notice is in lieu of the notice required in subsection (1) of this section. However, if after providing the one hundred twenty-day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u w:val="single"/>
        </w:rPr>
        <w:t xml:space="preserve">(c)(i) Whenever a landlord plans to demolish or substantially rehabilitate a premises or plans a change of use of the premises, the landlord shall provide a written notice to a tenant at least one hundred twenty days before termination of the tenancy. This subsection does not apply where a jurisdiction has created a relocation assistance program under RCW 59.18.440.</w:t>
      </w:r>
    </w:p>
    <w:p>
      <w:pPr>
        <w:spacing w:before="0" w:after="0" w:line="408" w:lineRule="exact"/>
        <w:ind w:left="0" w:right="0" w:firstLine="576"/>
        <w:jc w:val="left"/>
      </w:pPr>
      <w:r>
        <w:rPr>
          <w:u w:val="single"/>
        </w:rPr>
        <w:t xml:space="preserve">(ii) For purposes of this subsection (2)(c):</w:t>
      </w:r>
    </w:p>
    <w:p>
      <w:pPr>
        <w:spacing w:before="0" w:after="0" w:line="408" w:lineRule="exact"/>
        <w:ind w:left="0" w:right="0" w:firstLine="576"/>
        <w:jc w:val="left"/>
      </w:pPr>
      <w:r>
        <w:rPr>
          <w:u w:val="single"/>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u w:val="single"/>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u w:val="single"/>
        </w:rPr>
        <w:t xml:space="preserve">(C) "Demolish" means the destruction of a premises or the relocation of a premises to another site that results in the displacement of an existing tenant.</w:t>
      </w:r>
    </w:p>
    <w:p>
      <w:pPr>
        <w:spacing w:before="0" w:after="0" w:line="408" w:lineRule="exact"/>
        <w:ind w:left="0" w:right="0" w:firstLine="576"/>
        <w:jc w:val="left"/>
      </w:pPr>
      <w:r>
        <w:rPr>
          <w:u w:val="single"/>
        </w:rPr>
        <w:t xml:space="preserve">(D) "Substantially rehabilitate" means extensive structural repair or extensive remodeling of a premises that requires a permit such as a building, electrical, plumbing, or mechanical permit, and that results in the displacement of an existing tenant.</w:t>
      </w:r>
    </w:p>
    <w:p>
      <w:pPr>
        <w:spacing w:before="0" w:after="0" w:line="408" w:lineRule="exact"/>
        <w:ind w:left="0" w:right="0" w:firstLine="576"/>
        <w:jc w:val="left"/>
      </w:pPr>
      <w:r>
        <w:rPr>
          <w:u w:val="single"/>
        </w:rPr>
        <w:t xml:space="preserve">(d) A person in violation of (c) of this subsection shall be held liable in a civil action up to three times the monthly rent of the real property at issue. The prevailing party may also recover court costs and reasonable attorneys' fees.</w:t>
      </w:r>
    </w:p>
    <w:p/>
    <w:p>
      <w:pPr>
        <w:jc w:val="center"/>
      </w:pPr>
      <w:r>
        <w:rPr>
          <w:b/>
        </w:rPr>
        <w:t>--- END ---</w:t>
      </w:r>
    </w:p>
    <w:sectPr>
      <w:pgNumType w:start="1"/>
      <w:footerReference xmlns:r="http://schemas.openxmlformats.org/officeDocument/2006/relationships" r:id="Re3ba2853175c43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f17241df2749af" /><Relationship Type="http://schemas.openxmlformats.org/officeDocument/2006/relationships/footer" Target="/word/footer1.xml" Id="Re3ba2853175c43cd" /></Relationships>
</file>