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b24e9bb974f78" /></Relationships>
</file>

<file path=word/document.xml><?xml version="1.0" encoding="utf-8"?>
<w:document xmlns:w="http://schemas.openxmlformats.org/wordprocessingml/2006/main">
  <w:body>
    <w:p>
      <w:r>
        <w:t>S-1153.1</w:t>
      </w:r>
    </w:p>
    <w:p>
      <w:pPr>
        <w:jc w:val="center"/>
      </w:pPr>
      <w:r>
        <w:t>_______________________________________________</w:t>
      </w:r>
    </w:p>
    <w:p/>
    <w:p>
      <w:pPr>
        <w:jc w:val="center"/>
      </w:pPr>
      <w:r>
        <w:rPr>
          <w:b/>
        </w:rPr>
        <w:t>SENATE BILL 5724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Nguyen, and Salomon</w:t>
      </w:r>
    </w:p>
    <w:p/>
    <w:p>
      <w:r>
        <w:rPr>
          <w:t xml:space="preserve">Read first time 01/30/19.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safety and security of adult entertainers; and adding a new section to chapter 49.17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 and</w:t>
      </w:r>
    </w:p>
    <w:p>
      <w:pPr>
        <w:spacing w:before="0" w:after="0" w:line="408" w:lineRule="exact"/>
        <w:ind w:left="0" w:right="0" w:firstLine="576"/>
        <w:jc w:val="left"/>
      </w:pPr>
      <w:r>
        <w:rPr/>
        <w:t xml:space="preserve">(iv) Resources for assistance.</w:t>
      </w:r>
    </w:p>
    <w:p>
      <w:pPr>
        <w:spacing w:before="0" w:after="0" w:line="408" w:lineRule="exact"/>
        <w:ind w:left="0" w:right="0" w:firstLine="576"/>
        <w:jc w:val="left"/>
      </w:pPr>
      <w:r>
        <w:rPr/>
        <w:t xml:space="preserve">(b) As a condition of receiving or renewing an adult entertainer license issued by a local government, an entertainer must sign an affidavit stating that the entertainer has taken the training described in (a) of this subsection.</w:t>
      </w:r>
    </w:p>
    <w:p>
      <w:pPr>
        <w:spacing w:before="0" w:after="0" w:line="408" w:lineRule="exact"/>
        <w:ind w:left="0" w:right="0" w:firstLine="576"/>
        <w:jc w:val="left"/>
      </w:pPr>
      <w:r>
        <w:rPr/>
        <w:t xml:space="preserve">(2) An adult entertainment establishment must provide a panic button to each entertainer who performs in the establishment, at no cost to the entertainer. An entertainer may use the panic button if the entertainer reasonably believes there is an ongoing crime, harassment, or other emergency in the entertainer's presence. The entertainer may cease work and leave the immediate area of perceived danger to await the arrival of assistance.</w:t>
      </w:r>
    </w:p>
    <w:p>
      <w:pPr>
        <w:spacing w:before="0" w:after="0" w:line="408" w:lineRule="exact"/>
        <w:ind w:left="0" w:right="0" w:firstLine="576"/>
        <w:jc w:val="left"/>
      </w:pPr>
      <w:r>
        <w:rPr/>
        <w:t xml:space="preserve">(3)(a) An adult entertainment establishment must record the accusations it receives that a customer has committed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for at least five years after the most recent accusation.</w:t>
      </w:r>
    </w:p>
    <w:p>
      <w:pPr>
        <w:spacing w:before="0" w:after="0" w:line="408" w:lineRule="exact"/>
        <w:ind w:left="0" w:right="0" w:firstLine="576"/>
        <w:jc w:val="left"/>
      </w:pPr>
      <w:r>
        <w:rPr/>
        <w:t xml:space="preserve">(b) If an accusation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p>
    <w:p>
      <w:pPr>
        <w:spacing w:before="0" w:after="0" w:line="408" w:lineRule="exact"/>
        <w:ind w:left="0" w:right="0" w:firstLine="576"/>
        <w:jc w:val="left"/>
      </w:pPr>
      <w:r>
        <w:rPr/>
        <w:t xml:space="preserve">(4) For the purposes of enforcement, except for subsection (1) of this section, this section shall be considered a safety or health standard under this chapter.</w:t>
      </w:r>
    </w:p>
    <w:p>
      <w:pPr>
        <w:spacing w:before="0" w:after="0" w:line="408" w:lineRule="exact"/>
        <w:ind w:left="0" w:right="0" w:firstLine="576"/>
        <w:jc w:val="left"/>
      </w:pPr>
      <w:r>
        <w:rPr/>
        <w:t xml:space="preserve">(5)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rPr/>
        <w:t xml:space="preserve">(6) The department shall convene an entertainer advisory committee to assist with the implementation of this section, including the elements of the training under subsection (1) of this section. If the advisory committee recommends that additional measures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breasts, buttocks, anus, genitals, or pubic region of another person, or permits the touching, caressing, or fondling of the entertainer's</w:t>
      </w:r>
      <w:r>
        <w:rPr/>
        <w:t xml:space="preserve"> own breasts, buttocks, anus, genitals, or pubic region by another person, with the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carried by an entertainer by which the entertainer may summon immediate on-scene assistance from another entertainer, a security guard, or a representative of the entertainment establishment.</w:t>
      </w:r>
    </w:p>
    <w:p/>
    <w:p>
      <w:pPr>
        <w:jc w:val="center"/>
      </w:pPr>
      <w:r>
        <w:rPr>
          <w:b/>
        </w:rPr>
        <w:t>--- END ---</w:t>
      </w:r>
    </w:p>
    <w:sectPr>
      <w:pgNumType w:start="1"/>
      <w:footerReference xmlns:r="http://schemas.openxmlformats.org/officeDocument/2006/relationships" r:id="Rcdbd46fb39ed4d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966c1025c4533" /><Relationship Type="http://schemas.openxmlformats.org/officeDocument/2006/relationships/footer" Target="/word/footer1.xml" Id="Rcdbd46fb39ed4d1c" /></Relationships>
</file>