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566058ab784eaf" /></Relationships>
</file>

<file path=word/document.xml><?xml version="1.0" encoding="utf-8"?>
<w:document xmlns:w="http://schemas.openxmlformats.org/wordprocessingml/2006/main">
  <w:body>
    <w:p>
      <w:r>
        <w:t>S-1886.1</w:t>
      </w:r>
    </w:p>
    <w:p>
      <w:pPr>
        <w:jc w:val="center"/>
      </w:pPr>
      <w:r>
        <w:t>_______________________________________________</w:t>
      </w:r>
    </w:p>
    <w:p/>
    <w:p>
      <w:pPr>
        <w:jc w:val="center"/>
      </w:pPr>
      <w:r>
        <w:rPr>
          <w:b/>
        </w:rPr>
        <w:t>SUBSTITUTE SENATE BILL 5700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Nguyen, Darneille, Wellman, Rolfes, Kuderer, Das, Cleveland, Hasegawa, and Wilson, C.)</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juveniles in the custody of juvenile rehabilitation; and amending RCW 13.40.210.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2017 3rd sp.s. c 6 s 609 are each amended to read as follows:</w:t>
      </w:r>
    </w:p>
    <w:p>
      <w:pPr>
        <w:spacing w:before="0" w:after="0" w:line="408" w:lineRule="exact"/>
        <w:ind w:left="0" w:right="0" w:firstLine="576"/>
        <w:jc w:val="left"/>
      </w:pPr>
      <w:r>
        <w:rPr/>
        <w:t xml:space="preserve">(1)</w:t>
      </w:r>
      <w:r>
        <w:rPr>
          <w:u w:val="single"/>
        </w:rPr>
        <w:t xml:space="preserve">(a)</w:t>
      </w:r>
      <w:r>
        <w:rPr/>
        <w:t xml:space="preserve">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u w:val="single"/>
        </w:rPr>
        <w:t xml:space="preserve">(b) The secretary shall work with each person committed to its custody to establish a safe release plan into safe and stable housing and shall make reasonable efforts to involve the individual's family or natural supports in release planning, in accordance with state policy established by RCW 43.330.720.</w:t>
      </w:r>
    </w:p>
    <w:p>
      <w:pPr>
        <w:spacing w:before="0" w:after="0" w:line="408" w:lineRule="exact"/>
        <w:ind w:left="0" w:right="0" w:firstLine="576"/>
        <w:jc w:val="left"/>
      </w:pPr>
      <w:r>
        <w:rPr>
          <w:u w:val="single"/>
        </w:rPr>
        <w:t xml:space="preserve">(c) If the secretary is unable to establish a safe release plan, the secretary may provide rental vouchers to the individual who is releasing from its custody if rental assistance will result in a safe release plan.</w:t>
      </w:r>
    </w:p>
    <w:p>
      <w:pPr>
        <w:spacing w:before="0" w:after="0" w:line="408" w:lineRule="exact"/>
        <w:ind w:left="0" w:right="0" w:firstLine="576"/>
        <w:jc w:val="left"/>
      </w:pPr>
      <w:r>
        <w:rPr>
          <w:u w:val="single"/>
        </w:rPr>
        <w:t xml:space="preserve">(i) For youth who will be released subject to a program of parole pursuant to subsection (3) of this section, such rental vouchers may be provided for a period of up to six months from the date of release.</w:t>
      </w:r>
    </w:p>
    <w:p>
      <w:pPr>
        <w:spacing w:before="0" w:after="0" w:line="408" w:lineRule="exact"/>
        <w:ind w:left="0" w:right="0" w:firstLine="576"/>
        <w:jc w:val="left"/>
      </w:pPr>
      <w:r>
        <w:rPr>
          <w:u w:val="single"/>
        </w:rPr>
        <w:t xml:space="preserve">(ii) For youth releasing without parole, the secretary may provide community navigation, access to services, and rental vouchers for a period of up to six months. These services, including rental vouchers, may be revoked at the secretary's discretion.</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0" w:after="0" w:line="408" w:lineRule="exact"/>
        <w:ind w:left="0" w:right="0" w:firstLine="576"/>
        <w:jc w:val="left"/>
      </w:pPr>
      <w:r>
        <w:rPr>
          <w:u w:val="single"/>
        </w:rPr>
        <w:t xml:space="preserve">(7) Nothing in this chapter is meant to imply a private right of action for a violation of this section.</w:t>
      </w:r>
    </w:p>
    <w:p/>
    <w:p>
      <w:pPr>
        <w:jc w:val="center"/>
      </w:pPr>
      <w:r>
        <w:rPr>
          <w:b/>
        </w:rPr>
        <w:t>--- END ---</w:t>
      </w:r>
    </w:p>
    <w:sectPr>
      <w:pgNumType w:start="1"/>
      <w:footerReference xmlns:r="http://schemas.openxmlformats.org/officeDocument/2006/relationships" r:id="Rd64b36fdd12a48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9873bfe32244c6" /><Relationship Type="http://schemas.openxmlformats.org/officeDocument/2006/relationships/footer" Target="/word/footer1.xml" Id="Rd64b36fdd12a488a" /></Relationships>
</file>