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336dc5f0ce447f" /></Relationships>
</file>

<file path=word/document.xml><?xml version="1.0" encoding="utf-8"?>
<w:document xmlns:w="http://schemas.openxmlformats.org/wordprocessingml/2006/main">
  <w:body>
    <w:p>
      <w:r>
        <w:t>S-2557.1</w:t>
      </w:r>
    </w:p>
    <w:p>
      <w:pPr>
        <w:jc w:val="center"/>
      </w:pPr>
      <w:r>
        <w:t>_______________________________________________</w:t>
      </w:r>
    </w:p>
    <w:p/>
    <w:p>
      <w:pPr>
        <w:jc w:val="center"/>
      </w:pPr>
      <w:r>
        <w:rPr>
          <w:b/>
        </w:rPr>
        <w:t>SUBSTITUTE SENATE BILL 5696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Warnick and Takko)</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in lieu of real property taxes; amending RCW 77.12.201 and 77.12.203;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2017 3rd sp.s. c 1 s 983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w:t>
      </w:r>
      <w:r>
        <w:t>((</w:t>
      </w:r>
      <w:r>
        <w:rPr>
          <w:strike/>
        </w:rPr>
        <w:t xml:space="preserve">, with the exception of the 2015-2017 and 2017-2019 fiscal biennia, and shall monthly remit an amount equal to the amount collected to the state treasurer for deposit in the state general fund</w:t>
      </w:r>
      <w:r>
        <w:t>))</w:t>
      </w:r>
      <w:r>
        <w:rPr/>
        <w:t xml:space="preserve">.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2018 c 299 s 913 are each amended to read as follows:</w:t>
      </w:r>
    </w:p>
    <w:p>
      <w:pPr>
        <w:spacing w:before="0" w:after="0" w:line="408" w:lineRule="exact"/>
        <w:ind w:left="0" w:right="0" w:firstLine="576"/>
        <w:jc w:val="left"/>
      </w:pPr>
      <w:r>
        <w:rPr/>
        <w:t xml:space="preserve">(1) </w:t>
      </w:r>
      <w:r>
        <w:t>((</w:t>
      </w:r>
      <w:r>
        <w:rPr>
          <w:strike/>
        </w:rPr>
        <w:t xml:space="preserve">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w:t>
      </w:r>
      <w:r>
        <w:t>))</w:t>
      </w:r>
      <w:r>
        <w:rPr/>
        <w:t xml:space="preserve"> </w:t>
      </w:r>
      <w:r>
        <w:rPr>
          <w:u w:val="single"/>
        </w:rPr>
        <w:t xml:space="preserve">The state treasurer, on behalf of the department, must distribute to counties for eligible game lands, if requested by an election under RCW 77.12.201, an amount in lieu of real property taxes. The director must pay</w:t>
      </w:r>
      <w:r>
        <w:rPr/>
        <w:t xml:space="preserve"> an additional amount for control of noxious weeds equal to that which would be paid if such lands were privately owned. </w:t>
      </w:r>
      <w:r>
        <w:t>((</w:t>
      </w:r>
      <w:r>
        <w:rPr>
          <w:strike/>
        </w:rPr>
        <w:t xml:space="preserve">This amount may not be assessed or paid on department buildings, structures, facilities, game farms, fish hatcheries, water access sites, tidelands, or public fishing areas.</w:t>
      </w:r>
      <w:r>
        <w:t>))</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w:t>
      </w:r>
      <w:r>
        <w:rPr>
          <w:u w:val="single"/>
        </w:rPr>
        <w:t xml:space="preserve">(a)</w:t>
      </w:r>
      <w:r>
        <w:rPr/>
        <w:t xml:space="preserve"> For the </w:t>
      </w:r>
      <w:r>
        <w:t>((</w:t>
      </w:r>
      <w:r>
        <w:rPr>
          <w:strike/>
        </w:rPr>
        <w:t xml:space="preserve">2013-2015 and 2015-2017 fiscal biennia, the director</w:t>
      </w:r>
      <w:r>
        <w:t>))</w:t>
      </w:r>
      <w:r>
        <w:rPr/>
        <w:t xml:space="preserve"> </w:t>
      </w:r>
      <w:r>
        <w:rPr>
          <w:u w:val="single"/>
        </w:rPr>
        <w:t xml:space="preserve">2019-2021 and 2021-2023 fiscal bienniums, and until July 1, 2023, the state treasurer, on behalf of the department,</w:t>
      </w:r>
      <w:r>
        <w:rPr/>
        <w:t xml:space="preserve">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Chelan</w:t>
            </w:r>
            <w:r>
              <w:tab/>
            </w:r>
            <w:r>
              <w:t>((</w:t>
            </w:r>
            <w:r>
              <w:rPr>
                <w:rFonts w:ascii="Times New Roman" w:hAnsi="Times New Roman"/>
                <w:strike/>
                <w:sz w:val="20"/>
              </w:rPr>
              <w:t xml:space="preserve">24,757</w:t>
            </w:r>
            <w:r>
              <w:t>))</w:t>
            </w:r>
            <w:r>
              <w:rPr>
                <w:rFonts w:ascii="Times New Roman" w:hAnsi="Times New Roman"/>
                <w:sz w:val="20"/>
              </w:rPr>
              <w:t xml:space="preserve"> </w:t>
            </w:r>
            <w:r>
              <w:rPr>
                <w:rFonts w:ascii="Times New Roman" w:hAnsi="Times New Roman"/>
                <w:sz w:val="20"/>
                <w:u w:val="single"/>
              </w:rPr>
              <w:t xml:space="preserve">39,858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Columbia</w:t>
            </w:r>
            <w:r>
              <w:tab/>
            </w:r>
            <w:r>
              <w:t>((</w:t>
            </w:r>
            <w:r>
              <w:rPr>
                <w:rFonts w:ascii="Times New Roman" w:hAnsi="Times New Roman"/>
                <w:strike/>
                <w:sz w:val="20"/>
              </w:rPr>
              <w:t xml:space="preserve">7,795</w:t>
            </w:r>
            <w:r>
              <w:t>))</w:t>
            </w:r>
            <w:r>
              <w:rPr>
                <w:rFonts w:ascii="Times New Roman" w:hAnsi="Times New Roman"/>
                <w:sz w:val="20"/>
              </w:rPr>
              <w:t xml:space="preserve"> </w:t>
            </w:r>
            <w:r>
              <w:rPr>
                <w:rFonts w:ascii="Times New Roman" w:hAnsi="Times New Roman"/>
                <w:sz w:val="20"/>
                <w:u w:val="single"/>
              </w:rPr>
              <w:t xml:space="preserve">20,713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Ferry</w:t>
            </w:r>
            <w:r>
              <w:tab/>
            </w:r>
            <w:r>
              <w:t>((</w:t>
            </w:r>
            <w:r>
              <w:rPr>
                <w:rFonts w:ascii="Times New Roman" w:hAnsi="Times New Roman"/>
                <w:strike/>
                <w:sz w:val="20"/>
              </w:rPr>
              <w:t xml:space="preserve">6,781</w:t>
            </w:r>
            <w:r>
              <w:t>))</w:t>
            </w:r>
            <w:r>
              <w:rPr>
                <w:rFonts w:ascii="Times New Roman" w:hAnsi="Times New Roman"/>
                <w:sz w:val="20"/>
              </w:rPr>
              <w:t xml:space="preserve"> </w:t>
            </w:r>
            <w:r>
              <w:rPr>
                <w:rFonts w:ascii="Times New Roman" w:hAnsi="Times New Roman"/>
                <w:sz w:val="20"/>
                <w:u w:val="single"/>
              </w:rPr>
              <w:t xml:space="preserve">22,798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Garfield</w:t>
            </w:r>
            <w:r>
              <w:tab/>
            </w:r>
            <w:r>
              <w:t>((</w:t>
            </w:r>
            <w:r>
              <w:rPr>
                <w:rFonts w:ascii="Times New Roman" w:hAnsi="Times New Roman"/>
                <w:strike/>
                <w:sz w:val="20"/>
              </w:rPr>
              <w:t xml:space="preserve">4,840</w:t>
            </w:r>
            <w:r>
              <w:t>))</w:t>
            </w:r>
            <w:r>
              <w:rPr>
                <w:rFonts w:ascii="Times New Roman" w:hAnsi="Times New Roman"/>
                <w:sz w:val="20"/>
              </w:rPr>
              <w:t xml:space="preserve"> </w:t>
            </w:r>
            <w:r>
              <w:rPr>
                <w:rFonts w:ascii="Times New Roman" w:hAnsi="Times New Roman"/>
                <w:sz w:val="20"/>
                <w:u w:val="single"/>
              </w:rPr>
              <w:t xml:space="preserve">12,744</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Grant</w:t>
            </w:r>
            <w:r>
              <w:tab/>
            </w:r>
            <w:r>
              <w:t>((</w:t>
            </w:r>
            <w:r>
              <w:rPr>
                <w:rFonts w:ascii="Times New Roman" w:hAnsi="Times New Roman"/>
                <w:strike/>
                <w:sz w:val="20"/>
              </w:rPr>
              <w:t xml:space="preserve">37,443</w:t>
            </w:r>
            <w:r>
              <w:t>))</w:t>
            </w:r>
            <w:r>
              <w:rPr>
                <w:rFonts w:ascii="Times New Roman" w:hAnsi="Times New Roman"/>
                <w:sz w:val="20"/>
              </w:rPr>
              <w:t xml:space="preserve"> </w:t>
            </w:r>
            <w:r>
              <w:rPr>
                <w:rFonts w:ascii="Times New Roman" w:hAnsi="Times New Roman"/>
                <w:sz w:val="20"/>
                <w:u w:val="single"/>
              </w:rPr>
              <w:t xml:space="preserve">71,930</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Kittitas</w:t>
            </w:r>
            <w:r>
              <w:tab/>
            </w:r>
            <w:r>
              <w:t>((</w:t>
            </w:r>
            <w:r>
              <w:rPr>
                <w:rFonts w:ascii="Times New Roman" w:hAnsi="Times New Roman"/>
                <w:strike/>
                <w:sz w:val="20"/>
              </w:rPr>
              <w:t xml:space="preserve">143,974</w:t>
            </w:r>
            <w:r>
              <w:t>))</w:t>
            </w:r>
            <w:r>
              <w:rPr>
                <w:rFonts w:ascii="Times New Roman" w:hAnsi="Times New Roman"/>
                <w:sz w:val="20"/>
              </w:rPr>
              <w:t xml:space="preserve"> </w:t>
            </w:r>
            <w:r>
              <w:rPr>
                <w:rFonts w:ascii="Times New Roman" w:hAnsi="Times New Roman"/>
                <w:sz w:val="20"/>
                <w:u w:val="single"/>
              </w:rPr>
              <w:t xml:space="preserve">382,638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Klickitat</w:t>
            </w:r>
            <w:r>
              <w:tab/>
            </w:r>
            <w:r>
              <w:t>((</w:t>
            </w:r>
            <w:r>
              <w:rPr>
                <w:rFonts w:ascii="Times New Roman" w:hAnsi="Times New Roman"/>
                <w:strike/>
                <w:sz w:val="20"/>
              </w:rPr>
              <w:t xml:space="preserve">21,906</w:t>
            </w:r>
            <w:r>
              <w:t>))</w:t>
            </w:r>
            <w:r>
              <w:rPr>
                <w:rFonts w:ascii="Times New Roman" w:hAnsi="Times New Roman"/>
                <w:sz w:val="20"/>
              </w:rPr>
              <w:t xml:space="preserve"> </w:t>
            </w:r>
            <w:r>
              <w:rPr>
                <w:rFonts w:ascii="Times New Roman" w:hAnsi="Times New Roman"/>
                <w:sz w:val="20"/>
                <w:u w:val="single"/>
              </w:rPr>
              <w:t xml:space="preserve">51,019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Okanogan</w:t>
            </w:r>
            <w:r>
              <w:tab/>
            </w:r>
            <w:r>
              <w:t>((</w:t>
            </w:r>
            <w:r>
              <w:rPr>
                <w:rFonts w:ascii="Times New Roman" w:hAnsi="Times New Roman"/>
                <w:strike/>
                <w:sz w:val="20"/>
              </w:rPr>
              <w:t xml:space="preserve">151,402</w:t>
            </w:r>
            <w:r>
              <w:t>))</w:t>
            </w:r>
            <w:r>
              <w:rPr>
                <w:rFonts w:ascii="Times New Roman" w:hAnsi="Times New Roman"/>
                <w:sz w:val="20"/>
              </w:rPr>
              <w:t xml:space="preserve"> </w:t>
            </w:r>
            <w:r>
              <w:rPr>
                <w:rFonts w:ascii="Times New Roman" w:hAnsi="Times New Roman"/>
                <w:sz w:val="20"/>
                <w:u w:val="single"/>
              </w:rPr>
              <w:t xml:space="preserve">264,036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Pend Oreille</w:t>
            </w:r>
            <w:r>
              <w:tab/>
            </w:r>
            <w:r>
              <w:t>((</w:t>
            </w:r>
            <w:r>
              <w:rPr>
                <w:rFonts w:ascii="Times New Roman" w:hAnsi="Times New Roman"/>
                <w:strike/>
                <w:sz w:val="20"/>
              </w:rPr>
              <w:t xml:space="preserve">3,309</w:t>
            </w:r>
            <w:r>
              <w:t>))</w:t>
            </w:r>
            <w:r>
              <w:rPr>
                <w:rFonts w:ascii="Times New Roman" w:hAnsi="Times New Roman"/>
                <w:sz w:val="20"/>
              </w:rPr>
              <w:t xml:space="preserve"> </w:t>
            </w:r>
            <w:r>
              <w:rPr>
                <w:rFonts w:ascii="Times New Roman" w:hAnsi="Times New Roman"/>
                <w:sz w:val="20"/>
                <w:u w:val="single"/>
              </w:rPr>
              <w:t xml:space="preserve">5,546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Yakima</w:t>
            </w:r>
            <w:r>
              <w:tab/>
            </w:r>
            <w:r>
              <w:t>((</w:t>
            </w:r>
            <w:r>
              <w:rPr>
                <w:rFonts w:ascii="Times New Roman" w:hAnsi="Times New Roman"/>
                <w:strike/>
                <w:sz w:val="20"/>
              </w:rPr>
              <w:t xml:space="preserve">126,225</w:t>
            </w:r>
            <w:r>
              <w:t>))</w:t>
            </w:r>
            <w:r>
              <w:rPr>
                <w:rFonts w:ascii="Times New Roman" w:hAnsi="Times New Roman"/>
                <w:sz w:val="20"/>
              </w:rPr>
              <w:t xml:space="preserve"> </w:t>
            </w:r>
            <w:r>
              <w:rPr>
                <w:rFonts w:ascii="Times New Roman" w:hAnsi="Times New Roman"/>
                <w:sz w:val="20"/>
                <w:u w:val="single"/>
              </w:rPr>
              <w:t xml:space="preserve">186,056</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(b) For the 2023-2025 fiscal biennium, and until July 1, 2025, the state treasurer, on behalf of the department, must distribute to counties for eligible game lands, if requested by an election under RCW 77.12.201, an amount in lieu of real property taxes equal to fifty percent of the assessed value multiplied by the aggregate local levy rates for the tax code area in which the eligible game land is located, multiplied by three-fourths. The county must provide a list to the department of eligible parcels, assessed value, and aggregate local levy rates by parcel by December 31st for payment the following year.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(c) For the fiscal year 2025 and thereafter, the state treasurer, on behalf of the department, must distribute to counties for eligible game lands, if requested by an election under RCW 77.12.201, an amount in lieu of real property taxes equal to fifty percent of the assessed value multiplied by the aggregate local levy rates for the tax code area in which the eligible game land is located. The county must provide a list to the department of eligible parcels, assessed value, and aggregate local levy rates by parcel by December 31st for payment the following year.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(6) </w:t>
      </w:r>
      <w:r>
        <w:t>((</w:t>
      </w:r>
      <w:r>
        <w:rPr>
          <w:strike/>
        </w:rPr>
        <w:t xml:space="preserve">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County</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Adams</w:t>
            </w:r>
            <w:r>
              <w:tab/>
            </w:r>
            <w:r>
              <w:rPr>
                <w:rFonts w:ascii="Times New Roman" w:hAnsi="Times New Roman"/>
                <w:strike/>
                <w:sz w:val="20"/>
              </w:rPr>
              <w:t xml:space="preserve"> 1,909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Asotin</w:t>
            </w:r>
            <w:r>
              <w:tab/>
            </w:r>
            <w:r>
              <w:rPr>
                <w:rFonts w:ascii="Times New Roman" w:hAnsi="Times New Roman"/>
                <w:strike/>
                <w:sz w:val="20"/>
              </w:rPr>
              <w:t xml:space="preserve"> 36,123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Chelan</w:t>
            </w:r>
            <w:r>
              <w:tab/>
            </w:r>
            <w:r>
              <w:rPr>
                <w:rFonts w:ascii="Times New Roman" w:hAnsi="Times New Roman"/>
                <w:strike/>
                <w:sz w:val="20"/>
              </w:rPr>
              <w:t xml:space="preserve">39,858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Columbia</w:t>
            </w:r>
            <w:r>
              <w:tab/>
            </w:r>
            <w:r>
              <w:rPr>
                <w:rFonts w:ascii="Times New Roman" w:hAnsi="Times New Roman"/>
                <w:strike/>
                <w:sz w:val="20"/>
              </w:rPr>
              <w:t xml:space="preserve">20,713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Ferry</w:t>
            </w:r>
            <w:r>
              <w:tab/>
            </w:r>
            <w:r>
              <w:rPr>
                <w:rFonts w:ascii="Times New Roman" w:hAnsi="Times New Roman"/>
                <w:strike/>
                <w:sz w:val="20"/>
              </w:rPr>
              <w:t xml:space="preserve">22,798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Garfield</w:t>
            </w:r>
            <w:r>
              <w:tab/>
            </w:r>
            <w:r>
              <w:rPr>
                <w:rFonts w:ascii="Times New Roman" w:hAnsi="Times New Roman"/>
                <w:strike/>
                <w:sz w:val="20"/>
              </w:rPr>
              <w:t xml:space="preserve">12,744</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Grant</w:t>
            </w:r>
            <w:r>
              <w:tab/>
            </w:r>
            <w:r>
              <w:rPr>
                <w:rFonts w:ascii="Times New Roman" w:hAnsi="Times New Roman"/>
                <w:strike/>
                <w:sz w:val="20"/>
              </w:rPr>
              <w:t xml:space="preserve">71,930</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Kittitas</w:t>
            </w:r>
            <w:r>
              <w:tab/>
            </w:r>
            <w:r>
              <w:rPr>
                <w:rFonts w:ascii="Times New Roman" w:hAnsi="Times New Roman"/>
                <w:strike/>
                <w:sz w:val="20"/>
              </w:rPr>
              <w:t xml:space="preserve">382,638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Klickitat</w:t>
            </w:r>
            <w:r>
              <w:tab/>
            </w:r>
            <w:r>
              <w:rPr>
                <w:rFonts w:ascii="Times New Roman" w:hAnsi="Times New Roman"/>
                <w:strike/>
                <w:sz w:val="20"/>
              </w:rPr>
              <w:t xml:space="preserve">51,019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Lincoln</w:t>
            </w:r>
            <w:r>
              <w:tab/>
            </w:r>
            <w:r>
              <w:rPr>
                <w:rFonts w:ascii="Times New Roman" w:hAnsi="Times New Roman"/>
                <w:strike/>
                <w:sz w:val="20"/>
              </w:rPr>
              <w:t xml:space="preserve"> 13,535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Okanogan</w:t>
            </w:r>
            <w:r>
              <w:tab/>
            </w:r>
            <w:r>
              <w:rPr>
                <w:rFonts w:ascii="Times New Roman" w:hAnsi="Times New Roman"/>
                <w:strike/>
                <w:sz w:val="20"/>
              </w:rPr>
              <w:t xml:space="preserve">264,036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Pend Oreille</w:t>
            </w:r>
            <w:r>
              <w:tab/>
            </w:r>
            <w:r>
              <w:rPr>
                <w:rFonts w:ascii="Times New Roman" w:hAnsi="Times New Roman"/>
                <w:strike/>
                <w:sz w:val="20"/>
              </w:rPr>
              <w:t xml:space="preserve">5,546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Yakima</w:t>
            </w:r>
            <w:r>
              <w:tab/>
            </w:r>
            <w:r>
              <w:rPr>
                <w:rFonts w:ascii="Times New Roman" w:hAnsi="Times New Roman"/>
                <w:strike/>
                <w:sz w:val="20"/>
              </w:rPr>
              <w:t xml:space="preserve">186,056</w:t>
            </w:r>
          </w:p>
        </w:tc>
      </w:tr>
    </w:tbl>
    <w:p>
      <w:pPr>
        <w:spacing w:before="0" w:after="0" w:line="408" w:lineRule="exact"/>
        <w:ind w:left="0" w:right="0" w:firstLine="0"/>
        <w:jc w:val="left"/>
      </w:pPr>
      <w:r>
        <w:rPr>
          <w:strike/>
        </w:rPr>
        <w:t xml:space="preserve">These amounts may not be assessed or paid on department buildings, structures, facilities, game farms, fish hatcheries, water access sites, tidelands, or public fishing areas.</w:t>
      </w:r>
      <w:r>
        <w:t>))</w:t>
      </w:r>
      <w:r>
        <w:rPr/>
        <w:t xml:space="preserve"> </w:t>
      </w:r>
      <w:r>
        <w:rPr>
          <w:u w:val="single"/>
        </w:rPr>
        <w:t xml:space="preserve">For counties that did not request an amount in lieu of real property taxes during the 2015–2017 biennium, the state treasurer, on behalf of the department, must distribute an amount in lieu of property taxes as follows:</w:t>
      </w:r>
    </w:p>
    <w:p>
      <w:pPr>
        <w:spacing w:before="0" w:after="0" w:line="408" w:lineRule="exact"/>
        <w:ind w:left="0" w:right="0" w:firstLine="576"/>
        <w:jc w:val="left"/>
      </w:pPr>
      <w:r>
        <w:rPr>
          <w:u w:val="single"/>
        </w:rPr>
        <w:t xml:space="preserve">(a) For the fiscal years 2020–2024, and until July 1, 2024, the state treasurer, on behalf of the department, must distribute to counties for eligible game lands, if requested by an election under RCW 77.12.201, an amount in lieu of real property taxes equal to fifty percent of the assessed value multiplied by the aggregate local levy rates for the tax code area in which the eligible game land is located, divided by two. The county must provide a list to the department of eligible parcels, assessed value, and aggregate local levy rates by parcel by December 31st for payment the following year.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(b) For the fiscal years 2024-2026, and until July 1, 2026, the state treasurer, on behalf of the department, must distribute to counties for eligible game lands, if requested by an election under RCW 77.12.201, an amount in lieu of real property taxes equal to fifty percent of the assessed value multiplied by the aggregate local levy rates for the tax code area in which the eligible game land is located, multiplied by three-fourths. The county must provide a list to the department of eligible parcels, assessed value, and aggregate local levy rates by parcel by December 31st for payment the following year.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(c) For the fiscal year 2026 and thereafter, the state treasurer, on behalf of the department, must distribute to counties for eligible game lands, if requested by an election under RCW 77.12.201, an amount in lieu of real property taxes equal to fifty percent of the assessed value multiplied by the aggregate local levy rates for the tax code area in which the eligible game land is located. The county must provide a list to the department of eligible parcels, assessed value, and aggregate local levy rates by parcel by December 31st for payment the following year. This amount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125a7bbb92c648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228e5c06174f02" /><Relationship Type="http://schemas.openxmlformats.org/officeDocument/2006/relationships/footer" Target="/word/footer1.xml" Id="R125a7bbb92c64820" /></Relationships>
</file>