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40a67cf68448bb" /></Relationships>
</file>

<file path=word/document.xml><?xml version="1.0" encoding="utf-8"?>
<w:document xmlns:w="http://schemas.openxmlformats.org/wordprocessingml/2006/main">
  <w:body>
    <w:p>
      <w:r>
        <w:t>S-0816.1</w:t>
      </w:r>
    </w:p>
    <w:p>
      <w:pPr>
        <w:jc w:val="center"/>
      </w:pPr>
      <w:r>
        <w:t>_______________________________________________</w:t>
      </w:r>
    </w:p>
    <w:p/>
    <w:p>
      <w:pPr>
        <w:jc w:val="center"/>
      </w:pPr>
      <w:r>
        <w:rPr>
          <w:b/>
        </w:rPr>
        <w:t>SENATE BILL 5573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Warnick, Hunt, Fortunato, Takko, Zeiger, Wilson, C., Hasegawa, Walsh, Schoesler, McCoy, Honeyford, Rolfes, Sheldon, Liias, Darneille, Keiser, Nguyen, Saldaña, Van De Wege, and Wilson, L.</w:t>
      </w:r>
    </w:p>
    <w:p/>
    <w:p>
      <w:r>
        <w:rPr>
          <w:t xml:space="preserve">Read first time 01/24/19.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and traumatic brain injury; amending RCW 26.50.035 and 10.99.030; and adding a new section to chapter 74.31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department, in consultation with the advisory council established in RCW 74.31.020, shall recommend or develop an educational handout regarding traumatic brain injury to be provided to victims of domestic violence. The handout must include:</w:t>
      </w:r>
    </w:p>
    <w:p>
      <w:pPr>
        <w:spacing w:before="0" w:after="0" w:line="408" w:lineRule="exact"/>
        <w:ind w:left="0" w:right="0" w:firstLine="576"/>
        <w:jc w:val="left"/>
      </w:pPr>
      <w:r>
        <w:rPr/>
        <w:t xml:space="preserve">(a) An explanation of the potential for domestic abuse to lead to traumatic brain injury;</w:t>
      </w:r>
    </w:p>
    <w:p>
      <w:pPr>
        <w:spacing w:before="0" w:after="0" w:line="408" w:lineRule="exact"/>
        <w:ind w:left="0" w:right="0" w:firstLine="576"/>
        <w:jc w:val="left"/>
      </w:pPr>
      <w:r>
        <w:rPr/>
        <w:t xml:space="preserve">(b) Information on recognizing cognitive, behavioral, and physical symptoms of traumatic brain injury as well as potential impacts to a person's emotional well-being and mental health. A self-screening tool must be provided; and</w:t>
      </w:r>
    </w:p>
    <w:p>
      <w:pPr>
        <w:spacing w:before="0" w:after="0" w:line="408" w:lineRule="exact"/>
        <w:ind w:left="0" w:right="0" w:firstLine="576"/>
        <w:jc w:val="left"/>
      </w:pPr>
      <w:r>
        <w:rPr/>
        <w:t xml:space="preserve">(c) Recommendations for persons with traumatic brain injury to address or cope with the injury.</w:t>
      </w:r>
    </w:p>
    <w:p>
      <w:pPr>
        <w:spacing w:before="0" w:after="0" w:line="408" w:lineRule="exact"/>
        <w:ind w:left="0" w:right="0" w:firstLine="576"/>
        <w:jc w:val="left"/>
      </w:pPr>
      <w:r>
        <w:rPr/>
        <w:t xml:space="preserve">(2) The department must update the handout on a periodic basis and make the handout available for use by law enforcement as provided in RCW 10.99.030 and the administrative office of the courts as provided in RCW 26.50.035.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035</w:t>
      </w:r>
      <w:r>
        <w:rPr/>
        <w:t xml:space="preserve"> and 2005 c 282 s 40 are each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required under RCW 26.50.030(4), standard petition and order for protection forms, and a court staff handbook on domestic violence and the protection order process. The standard petition and order for protection forms must be used after September 1, 1994, for all petitions filed and orders issued under this chapter. The instructions, brochures, forms, and handbook shall be prepared in consultation with interested persons, including a representative of the state domestic violence coalition, judges, and law enforcement personnel.</w:t>
      </w:r>
    </w:p>
    <w:p>
      <w:pPr>
        <w:spacing w:before="0" w:after="0" w:line="408" w:lineRule="exact"/>
        <w:ind w:left="0" w:right="0" w:firstLine="576"/>
        <w:jc w:val="left"/>
      </w:pPr>
      <w:r>
        <w:rPr/>
        <w:t xml:space="preserve">(a) The instructions shall be designed to assist petitioners in completing the petition, and shall include a sample of standard petition and order for protection forms.</w:t>
      </w:r>
    </w:p>
    <w:p>
      <w:pPr>
        <w:spacing w:before="0" w:after="0" w:line="408" w:lineRule="exact"/>
        <w:ind w:left="0" w:right="0" w:firstLine="576"/>
        <w:jc w:val="left"/>
      </w:pPr>
      <w:r>
        <w:rPr/>
        <w:t xml:space="preserve">(b) The informational brochure shall describe the use of and the process for obtaining, modifying, and terminating a domestic violence protection order as provided under this chapter, an antiharassment no-contact order as provided under chapter 9A.46 RCW, a domestic violence no-contact order as provided under chapter 10.99 RCW, a restraining order as provided under chapters 26.09, 26.10, </w:t>
      </w:r>
      <w:r>
        <w:t>((</w:t>
      </w:r>
      <w:r>
        <w:rPr>
          <w:strike/>
        </w:rPr>
        <w:t xml:space="preserve">26.26</w:t>
      </w:r>
      <w:r>
        <w:t>))</w:t>
      </w:r>
      <w:r>
        <w:rPr/>
        <w:t xml:space="preserve"> </w:t>
      </w:r>
      <w:r>
        <w:rPr>
          <w:u w:val="single"/>
        </w:rPr>
        <w:t xml:space="preserve">26.26A, 26.26B</w:t>
      </w:r>
      <w:r>
        <w:rPr/>
        <w:t xml:space="preserve">, and 26.44 RCW, an antiharassment protection order as provided by chapter 10.14 RCW, and a foreign protection order as defined in chapter 26.52 RCW.</w:t>
      </w:r>
    </w:p>
    <w:p>
      <w:pPr>
        <w:spacing w:before="0" w:after="0" w:line="408" w:lineRule="exact"/>
        <w:ind w:left="0" w:right="0" w:firstLine="576"/>
        <w:jc w:val="left"/>
      </w:pPr>
      <w:r>
        <w:rPr/>
        <w:t xml:space="preserve">(c) </w:t>
      </w:r>
      <w:r>
        <w:rPr>
          <w:u w:val="single"/>
        </w:rPr>
        <w:t xml:space="preserve">The educational handout on domestic violence and traumatic brain injury prepared by the department of social and health services pursuant to section 1 of this act must be included as part of the informational brochures to be provided to persons seeking protection orders.</w:t>
      </w:r>
    </w:p>
    <w:p>
      <w:pPr>
        <w:spacing w:before="0" w:after="0" w:line="408" w:lineRule="exact"/>
        <w:ind w:left="0" w:right="0" w:firstLine="576"/>
        <w:jc w:val="left"/>
      </w:pPr>
      <w:r>
        <w:rPr>
          <w:u w:val="single"/>
        </w:rPr>
        <w:t xml:space="preserve">(d)</w:t>
      </w:r>
      <w:r>
        <w:rPr/>
        <w:t xml:space="preserve"> The order for protection form shall include, in a conspicuous location, notice of criminal penalties resulting from violation of the order, and the following statement: "You can be arrested even if the person or persons who obtained the order invite or allow you to violate the order's prohibitions. The respondent has the sole responsibility to avoid or refrain from violating the order's provisions. Only the court can change the order upon written application."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court staff handbook shall allow for the addition of a community resource list by the court clerk.</w:t>
      </w:r>
    </w:p>
    <w:p>
      <w:pPr>
        <w:spacing w:before="0" w:after="0" w:line="408" w:lineRule="exact"/>
        <w:ind w:left="0" w:right="0" w:firstLine="576"/>
        <w:jc w:val="left"/>
      </w:pPr>
      <w:r>
        <w:rPr/>
        <w:t xml:space="preserve">(2) All court clerks shall obtain a community resource list from a domestic violence program, defined in RCW 70.123.020, serving the county in which the court is located. The community resource list shall include the names and telephone numbers of domestic violence programs serving the community in which the court is located, including law enforcement agencies, domestic violence agencies, sexual assault agencies, legal assistance programs, interpreters, multicultural programs, and batterers' treatment programs. The court shall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 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January 1, 1997.</w:t>
      </w:r>
    </w:p>
    <w:p>
      <w:pPr>
        <w:spacing w:before="0" w:after="0" w:line="408" w:lineRule="exact"/>
        <w:ind w:left="0" w:right="0" w:firstLine="576"/>
        <w:jc w:val="left"/>
      </w:pPr>
      <w:r>
        <w:rPr/>
        <w:t xml:space="preserve">(6) The administrative office of the courts shall update the instructions, brochures, standard petition and order for protection forms, and court staff handbook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2016 c 136 s 5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w:t>
      </w:r>
      <w:r>
        <w:rPr>
          <w:u w:val="single"/>
        </w:rPr>
        <w:t xml:space="preserve">recognizing the signs of possible or probable traumatic brain injury,</w:t>
      </w:r>
      <w:r>
        <w:rPr/>
        <w:t xml:space="preserve">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t xml:space="preserve">(5)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(6)(a)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(7) When a peace officer responds to a domestic violence call, the officer shall</w:t>
      </w:r>
      <w:r>
        <w:rPr>
          <w:u w:val="single"/>
        </w:rPr>
        <w:t xml:space="preserve">:</w:t>
      </w:r>
    </w:p>
    <w:p>
      <w:pPr>
        <w:spacing w:before="0" w:after="0" w:line="408" w:lineRule="exact"/>
        <w:ind w:left="0" w:right="0" w:firstLine="576"/>
        <w:jc w:val="left"/>
      </w:pPr>
      <w:r>
        <w:rPr>
          <w:u w:val="single"/>
        </w:rPr>
        <w:t xml:space="preserve">(a) A</w:t>
      </w:r>
      <w:r>
        <w:rPr/>
        <w:t xml:space="preserve">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w:t>
      </w:r>
    </w:p>
    <w:p>
      <w:pPr>
        <w:spacing w:before="120" w:after="0" w:line="408" w:lineRule="exact"/>
        <w:ind w:left="0" w:right="0" w:firstLine="576"/>
        <w:jc w:val="left"/>
      </w:pPr>
      <w:r>
        <w:rPr>
          <w:u w:val="single"/>
        </w:rPr>
        <w:t xml:space="preserve">(b) Provide victims with a copy of the educational handout on domestic violence and traumatic brain injury prepared by the department of social and health services pursuant to section 1 of this act.</w:t>
      </w:r>
    </w:p>
    <w:p>
      <w:pPr>
        <w:spacing w:before="0" w:after="0" w:line="408" w:lineRule="exact"/>
        <w:ind w:left="0" w:right="0" w:firstLine="576"/>
        <w:jc w:val="left"/>
      </w:pPr>
      <w:r>
        <w:rPr/>
        <w:t xml:space="preserve">(8)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(9) The law enforcement agency shall forward the offense report to the appropriate prosecutor within ten days of making such report if there is probable cause to believe that an offense has been committed, unless the case is under active investigation. 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(10) Each law enforcement agency shall make as soon as practicable a written record and shall maintain records of all incidents of domestic violence reported to it</w:t>
      </w:r>
      <w:r>
        <w:rPr>
          <w:u w:val="single"/>
        </w:rPr>
        <w:t xml:space="preserve">, including a notation of a probable incident of traumatic brain injury</w:t>
      </w:r>
      <w:r>
        <w:rPr/>
        <w:t xml:space="preserve">.</w:t>
      </w:r>
    </w:p>
    <w:p>
      <w:pPr>
        <w:spacing w:before="0" w:after="0" w:line="408" w:lineRule="exact"/>
        <w:ind w:left="0" w:right="0" w:firstLine="576"/>
        <w:jc w:val="left"/>
      </w:pPr>
      <w:r>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
      <w:pPr>
        <w:jc w:val="center"/>
      </w:pPr>
      <w:r>
        <w:rPr>
          <w:b/>
        </w:rPr>
        <w:t>--- END ---</w:t>
      </w:r>
    </w:p>
    <w:sectPr>
      <w:pgNumType w:start="1"/>
      <w:footerReference xmlns:r="http://schemas.openxmlformats.org/officeDocument/2006/relationships" r:id="Rdb0706968f6f4c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8541d469d2487a" /><Relationship Type="http://schemas.openxmlformats.org/officeDocument/2006/relationships/footer" Target="/word/footer1.xml" Id="Rdb0706968f6f4cf4" /></Relationships>
</file>