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f02bb7674497d" /></Relationships>
</file>

<file path=word/document.xml><?xml version="1.0" encoding="utf-8"?>
<w:document xmlns:w="http://schemas.openxmlformats.org/wordprocessingml/2006/main">
  <w:body>
    <w:p>
      <w:r>
        <w:t>Z-0331.1</w:t>
      </w:r>
    </w:p>
    <w:p>
      <w:pPr>
        <w:jc w:val="center"/>
      </w:pPr>
      <w:r>
        <w:t>_______________________________________________</w:t>
      </w:r>
    </w:p>
    <w:p/>
    <w:p>
      <w:pPr>
        <w:jc w:val="center"/>
      </w:pPr>
      <w:r>
        <w:rPr>
          <w:b/>
        </w:rPr>
        <w:t>SENATE BILL 5566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and Takko; by request of Department of Labor &amp; Industries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setting fees for administration of the prevailing wage program; and amending RCW 39.12.070.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on public works for the approval of statements of intent to pay prevailing wages and the certification of affidavits of wages paid. The department may also charge fees to persons or organizations requesting the arbitration of disputes under RCW 39.12.060. The amount of the fees shall be established by rules adopted by the department under the procedures in the administrative procedure act, chapter 34.05 RCW. Except as provided in subsection (3) of this section, the fees shall apply to all approvals, certifications, and arbitration requests made after the effective date of the rules. All fees shall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shall set the fees permitted by this section at a level that generates revenue that is as near as practicable to the amount of the appropriation to administer this chapter, including, but not limited to, the performance of adequate wage surveys, and to investigate and enforce all alleged violations of this chapter,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shall be forty dollars </w:t>
      </w:r>
      <w:r>
        <w:rPr>
          <w:u w:val="single"/>
        </w:rPr>
        <w:t xml:space="preserve">or less, as determined by the director of labor and industries in accordance with this subsection. For the 2019-2021 biennium, the fees shall not be more than twenty dollars</w:t>
      </w:r>
      <w:r>
        <w:rPr/>
        <w:t xml:space="preserve">.</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
      <w:pPr>
        <w:jc w:val="center"/>
      </w:pPr>
      <w:r>
        <w:rPr>
          <w:b/>
        </w:rPr>
        <w:t>--- END ---</w:t>
      </w:r>
    </w:p>
    <w:sectPr>
      <w:pgNumType w:start="1"/>
      <w:footerReference xmlns:r="http://schemas.openxmlformats.org/officeDocument/2006/relationships" r:id="Ra9c35ff0aa6640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5a0d8ae0fb4d63" /><Relationship Type="http://schemas.openxmlformats.org/officeDocument/2006/relationships/footer" Target="/word/footer1.xml" Id="Ra9c35ff0aa664002" /></Relationships>
</file>