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af291ba184d42" /></Relationships>
</file>

<file path=word/document.xml><?xml version="1.0" encoding="utf-8"?>
<w:document xmlns:w="http://schemas.openxmlformats.org/wordprocessingml/2006/main">
  <w:body>
    <w:p>
      <w:r>
        <w:t>S-0858.1</w:t>
      </w:r>
    </w:p>
    <w:p>
      <w:pPr>
        <w:jc w:val="center"/>
      </w:pPr>
      <w:r>
        <w:t>_______________________________________________</w:t>
      </w:r>
    </w:p>
    <w:p/>
    <w:p>
      <w:pPr>
        <w:jc w:val="center"/>
      </w:pPr>
      <w:r>
        <w:rPr>
          <w:b/>
        </w:rPr>
        <w:t>SENATE BILL 5530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Frockt, Kuderer, Das, Darneille, Dhingra, Hasegawa, Keiser, Liias, McCoy, Nguyen, Saldaña, and Wellman</w:t>
      </w:r>
    </w:p>
    <w:p/>
    <w:p>
      <w:r>
        <w:rPr>
          <w:t xml:space="preserve">Read first time 01/23/19.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debt; amending RCW 4.56.110, 6.01.060, 6.15.010, 6.27.100, 6.27.105, 6.27.140, 6.27.150, 6.32.010, 19.16.100, 19.16.250, 19.52.010, and 19.52.020; and adding a new section to chapter 70.54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2018 c 199 s 201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w:t>
      </w:r>
      <w:r>
        <w:rPr>
          <w:u w:val="single"/>
        </w:rPr>
        <w:t xml:space="preserve">Except as provided in subsection (5) of this section, j</w:t>
      </w:r>
      <w:r>
        <w:rPr/>
        <w:t xml:space="preserve">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t xml:space="preserve">(5) </w:t>
      </w:r>
      <w:r>
        <w:rPr>
          <w:u w:val="single"/>
        </w:rPr>
        <w:t xml:space="preserve">Judgments for unpaid medical debt, as defined in RCW 19.16.100,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u w:val="single"/>
        </w:rPr>
        <w:t xml:space="preserve">(6)</w:t>
      </w:r>
      <w:r>
        <w:rPr/>
        <w:t xml:space="preserve"> Except as provided under subsections (1)</w:t>
      </w:r>
      <w:r>
        <w:t>((</w:t>
      </w:r>
      <w:r>
        <w:rPr>
          <w:strike/>
        </w:rPr>
        <w:t xml:space="preserve">, (2), (3), and (4)</w:t>
      </w:r>
      <w:r>
        <w:t>))</w:t>
      </w:r>
      <w:r>
        <w:rPr/>
        <w:t xml:space="preserve"> </w:t>
      </w:r>
      <w:r>
        <w:rPr>
          <w:u w:val="single"/>
        </w:rPr>
        <w:t xml:space="preserve">through (5)</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2018 c 199 s 202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"Certified mail" includes, for mailings to a foreign country, any form of mail that requires or permits a return receipt.</w:t>
      </w:r>
    </w:p>
    <w:p>
      <w:pPr>
        <w:spacing w:before="0" w:after="0" w:line="408" w:lineRule="exact"/>
        <w:ind w:left="0" w:right="0" w:firstLine="576"/>
        <w:jc w:val="left"/>
      </w:pPr>
      <w:r>
        <w:rPr/>
        <w:t xml:space="preserve">(2) </w:t>
      </w:r>
      <w:r>
        <w:rPr>
          <w:u w:val="single"/>
        </w:rPr>
        <w:t xml:space="preserve">"Medical debt" has the same meaning as provided in RCW 19.16.100.</w:t>
      </w:r>
    </w:p>
    <w:p>
      <w:pPr>
        <w:spacing w:before="0" w:after="0" w:line="408" w:lineRule="exact"/>
        <w:ind w:left="0" w:right="0" w:firstLine="576"/>
        <w:jc w:val="left"/>
      </w:pPr>
      <w:r>
        <w:rPr>
          <w:u w:val="single"/>
        </w:rPr>
        <w:t xml:space="preserve">(3)</w:t>
      </w:r>
      <w:r>
        <w:rPr/>
        <w:t xml:space="preserve">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2018 c 199 s 203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For all debts except private student loan debt </w:t>
      </w:r>
      <w:r>
        <w:rPr>
          <w:u w:val="single"/>
        </w:rPr>
        <w:t xml:space="preserve">and medical debt</w:t>
      </w:r>
      <w:r>
        <w:rPr/>
        <w:t xml:space="preserve">, five hundred dollars in value may consist of bank accounts, savings and loan accounts, stocks, bonds, or other securities. The maximum exemption under this subsection (1)(d)(ii)(A)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rPr>
          <w:u w:val="single"/>
        </w:rPr>
        <w:t xml:space="preserve">and medical debt</w:t>
      </w:r>
      <w:r>
        <w:rPr/>
        <w:t xml:space="preserve">, two thousand five hundred dollars in value may consist of bank accounts, savings and loan accounts, stocks, bonds, or other securities. The maximum exemption under this subsection (1)(d)(ii)(B) may not exceed two thousand five hundred dollars, regardless of the number of existing separate bank accounts, savings and loan accounts, stocks, bonds, or other securities;</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(1)(d)(vi)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2018 c 199 s 204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 </w:t>
      </w:r>
      <w:r>
        <w:t>((</w:t>
      </w:r>
      <w:r>
        <w:rPr>
          <w:strike/>
        </w:rPr>
        <w:t xml:space="preserve">and</w:t>
      </w:r>
      <w:r>
        <w:t>))</w:t>
      </w:r>
    </w:p>
    <w:p>
      <w:pPr>
        <w:spacing w:before="0" w:after="0" w:line="408" w:lineRule="exact"/>
        <w:ind w:left="0" w:right="0" w:firstLine="576"/>
        <w:jc w:val="left"/>
      </w:pPr>
      <w:r>
        <w:rPr/>
        <w:t xml:space="preserve">(c) </w:t>
      </w:r>
      <w:r>
        <w:rPr>
          <w:u w:val="single"/>
        </w:rPr>
        <w:t xml:space="preserve">If the writ is issued under an order or judgment for medical debt, the following statement shall appear conspicuously in the caption: "This garnishment is based on a judgment or order for medical debt"; and</w:t>
      </w:r>
    </w:p>
    <w:p>
      <w:pPr>
        <w:spacing w:before="0" w:after="0" w:line="408" w:lineRule="exact"/>
        <w:ind w:left="0" w:right="0" w:firstLine="576"/>
        <w:jc w:val="left"/>
      </w:pPr>
      <w:r>
        <w:rPr>
          <w:u w:val="single"/>
        </w:rPr>
        <w:t xml:space="preserve">(d)</w:t>
      </w:r>
      <w:r>
        <w:rPr/>
        <w:t xml:space="preserve">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8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  </w:t>
            </w:r>
            <w:r>
              <w:tab/>
            </w:r>
          </w:p>
        </w:tc>
      </w:tr>
      <w:tr>
        <w:tc>
          <w:tcPr>
            <w:gridSpan w:val="5"/>
            <w:tcW w:w="2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  </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9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2018 c 199 s 205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 </w:t>
      </w:r>
      <w:r>
        <w:t>((</w:t>
      </w:r>
      <w:r>
        <w:rPr>
          <w:strike/>
        </w:rPr>
        <w:t xml:space="preserve">and</w:t>
      </w:r>
      <w:r>
        <w:t>))</w:t>
      </w:r>
    </w:p>
    <w:p>
      <w:pPr>
        <w:spacing w:before="0" w:after="0" w:line="408" w:lineRule="exact"/>
        <w:ind w:left="0" w:right="0" w:firstLine="576"/>
        <w:jc w:val="left"/>
      </w:pPr>
      <w:r>
        <w:rPr/>
        <w:t xml:space="preserve">(c) </w:t>
      </w:r>
      <w:r>
        <w:rPr>
          <w:u w:val="single"/>
        </w:rPr>
        <w:t xml:space="preserve">If the writ is issued under an order or judgment for medical debt, the following statement shall appear conspicuously in the caption: "This garnishment is based on a judgment or order for medical debt"; and</w:t>
      </w:r>
    </w:p>
    <w:p>
      <w:pPr>
        <w:spacing w:before="0" w:after="0" w:line="408" w:lineRule="exact"/>
        <w:ind w:left="0" w:right="0" w:firstLine="576"/>
        <w:jc w:val="left"/>
      </w:pPr>
      <w:r>
        <w:rPr>
          <w:u w:val="single"/>
        </w:rPr>
        <w:t xml:space="preserve">(d)</w:t>
      </w:r>
      <w:r>
        <w:rPr/>
        <w:t xml:space="preserve">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left"/>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w:t>
            </w:r>
            <w:r>
              <w:tab/>
            </w:r>
          </w:p>
        </w:tc>
      </w:tr>
      <w:tr>
        <w:tc>
          <w:tcPr>
            <w:gridSpan w:val="5"/>
            <w:tcW w:w="2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of </w:t>
      </w:r>
      <w:r>
        <w:t>((</w:t>
      </w:r>
      <w:r>
        <w:rPr>
          <w:strike/>
        </w:rPr>
        <w:t xml:space="preserve">either:</w:t>
      </w:r>
      <w:r>
        <w:t>))</w:t>
      </w:r>
      <w:r>
        <w:rPr/>
        <w:t xml:space="preserve"> "This garnishment is based on a judgment or order for child support," the basic exempt amount is fifty percent of disposable earnings; </w:t>
      </w:r>
      <w:r>
        <w:t>((</w:t>
      </w:r>
      <w:r>
        <w:rPr>
          <w:strike/>
        </w:rPr>
        <w:t xml:space="preserve">or</w:t>
      </w:r>
      <w:r>
        <w:t>))</w:t>
      </w:r>
      <w:r>
        <w:rPr/>
        <w:t xml:space="preserve"> </w:t>
      </w:r>
      <w:r>
        <w:rPr>
          <w:u w:val="single"/>
        </w:rPr>
        <w:t xml:space="preserve">and if this writ carries a statement in the heading of either:</w:t>
      </w:r>
      <w:r>
        <w:rPr/>
        <w:t xml:space="preserve"> "This garnishment is based on a judgment or order for private student loan debt," </w:t>
      </w:r>
      <w:r>
        <w:rPr>
          <w:u w:val="single"/>
        </w:rPr>
        <w:t xml:space="preserve">or "This garnishment is based on a judgment or order for medical debt,"</w:t>
      </w:r>
      <w:r>
        <w:rPr/>
        <w:t xml:space="preserve"> the basic exempt amount is the greater of eighty-five percent of disposable earnings or fifty times the minimum hourly wage of the highest minimum wage law in the state at the time the earnings are payable.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180"/>
              <w:jc w:val="left"/>
            </w:pP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2018 c 199 s 206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0"/>
        <w:jc w:val="center"/>
      </w:pPr>
      <w:r>
        <w:rPr/>
        <w:t xml:space="preserve">NOTICE OF GARNISHMENT</w:t>
      </w:r>
    </w:p>
    <w:p>
      <w:pPr>
        <w:spacing w:before="0" w:after="0" w:line="408" w:lineRule="exact"/>
        <w:ind w:left="0" w:right="0" w:firstLine="0"/>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If the garnishment is for private student loan debt </w:t>
      </w:r>
      <w:r>
        <w:rPr>
          <w:u w:val="single"/>
        </w:rPr>
        <w:t xml:space="preserve">or medical debt</w:t>
      </w:r>
      <w:r>
        <w:rPr/>
        <w:t xml:space="preserve">,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up to $2,500.00 in a bank account if you owe on private student loan debts </w:t>
      </w:r>
      <w:r>
        <w:rPr>
          <w:u w:val="single"/>
        </w:rPr>
        <w:t xml:space="preserve">or medical debt</w:t>
      </w:r>
      <w:r>
        <w:rPr/>
        <w:t xml:space="preserve"> or up to $500.00 in a bank account for all other debts)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Federally qualified pension, such as a state or federal pension, individual retirement account (IRA), or 401K plan.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Other.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$2,500 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$2,500 exemption for medical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$500 exemption for all other debts.</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both"/>
              <w:tabs>
                <w:tab w:val="right" w:leader="dot" w:pos="4328"/>
              </w:tabs>
            </w:pPr>
            <w:r>
              <w:rPr>
                <w:rFonts w:ascii="Times New Roman" w:hAnsi="Times New Roman"/>
                <w:sz w:val="20"/>
              </w:rPr>
              <w:t xml:space="preserve">Describe property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and address of employer who is paying the</w:t>
            </w:r>
          </w:p>
          <w:p>
            <w:pPr>
              <w:spacing w:before="0" w:after="0" w:line="408" w:lineRule="exact"/>
              <w:ind w:left="0" w:right="0" w:firstLine="0"/>
              <w:jc w:val="left"/>
              <w:tabs>
                <w:tab w:val="right" w:leader="dot" w:pos="4328"/>
              </w:tabs>
            </w:pPr>
            <w:r>
              <w:rPr>
                <w:rFonts w:ascii="Times New Roman" w:hAnsi="Times New Roman"/>
                <w:sz w:val="20"/>
              </w:rPr>
              <w:t xml:space="preserve">benefits:</w:t>
            </w: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left"/>
              <w:tabs>
                <w:tab w:val="right" w:leader="dot" w:pos="4328"/>
              </w:tabs>
            </w:pPr>
            <w:r>
              <w:tab/>
            </w:r>
          </w:p>
        </w:tc>
      </w:tr>
      <w:tr>
        <w:tc>
          <w:tcPr>
            <w:gridSpan w:val="4"/>
            <w:tcW w:w="486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sz w:val="20"/>
              </w:rPr>
              <w:t xml:space="preserve">IF EARNINGS ARE GARNISHED FOR CHILD SUPPORT:</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PRIVATE STUDENT LOAN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u w:val="single"/>
              </w:rPr>
              <w:t xml:space="preserve">IF EARNINGS ARE GARNISHED FOR MEDICAL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t xml:space="preserve">(d) If the writ under (b) of this subsection is not a writ for the collection of private student loan debt, the exemption language pertaining to private student loan debt may be omitted.</w:t>
      </w:r>
    </w:p>
    <w:p>
      <w:pPr>
        <w:spacing w:before="0" w:after="0" w:line="408" w:lineRule="exact"/>
        <w:ind w:left="0" w:right="0" w:firstLine="576"/>
        <w:jc w:val="left"/>
      </w:pPr>
      <w:r>
        <w:rPr>
          <w:u w:val="single"/>
        </w:rPr>
        <w:t xml:space="preserve">(e) If the writ under (b) of this subsection is not a writ for the collection of medical debt, the exemption language pertaining to medical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2018 c 199 s 207 are each amended to read as follows:</w:t>
      </w:r>
    </w:p>
    <w:p>
      <w:pPr>
        <w:spacing w:before="0" w:after="0" w:line="408" w:lineRule="exact"/>
        <w:ind w:left="0" w:right="0" w:firstLine="576"/>
        <w:jc w:val="left"/>
      </w:pPr>
      <w:r>
        <w:rPr/>
        <w:t xml:space="preserve">(1) Except as provided in subsections (2) and (3)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In the case of a garnishment based on a judgment or other order for the collection of private student loan debt </w:t>
      </w:r>
      <w:r>
        <w:rPr>
          <w:u w:val="single"/>
        </w:rPr>
        <w:t xml:space="preserve">or medical debt</w:t>
      </w:r>
      <w:r>
        <w:rPr/>
        <w:t xml:space="preserve">, for each week of such earnings, an amount shall be exempt from garnishment which is the greater of the following:</w:t>
      </w:r>
    </w:p>
    <w:p>
      <w:pPr>
        <w:spacing w:before="0" w:after="0" w:line="408" w:lineRule="exact"/>
        <w:ind w:left="0" w:right="0" w:firstLine="576"/>
        <w:jc w:val="left"/>
      </w:pPr>
      <w:r>
        <w:rPr/>
        <w:t xml:space="preserve">(a) Fifty times the minimum hourly wage of the highest minimum wage law in the state at the time the earnings are payable; or</w:t>
      </w:r>
    </w:p>
    <w:p>
      <w:pPr>
        <w:spacing w:before="0" w:after="0" w:line="408" w:lineRule="exact"/>
        <w:ind w:left="0" w:right="0" w:firstLine="576"/>
        <w:jc w:val="left"/>
      </w:pPr>
      <w:r>
        <w:rPr/>
        <w:t xml:space="preserve">(b) Eighty-five percent of the disposable earnings of the defendant.</w:t>
      </w:r>
    </w:p>
    <w:p>
      <w:pPr>
        <w:spacing w:before="0" w:after="0" w:line="408" w:lineRule="exact"/>
        <w:ind w:left="0" w:right="0" w:firstLine="576"/>
        <w:jc w:val="left"/>
      </w:pPr>
      <w:r>
        <w:rPr/>
        <w:t xml:space="preserve">(4)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rPr/>
        <w:t xml:space="preserve">(5)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rPr/>
        <w:t xml:space="preserve">(6) No money due or earned as earnings as defined in RCW 6.27.010 shall be exempt from garnishment under the provisions of RCW 6.15.010,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32</w:t>
      </w:r>
      <w:r>
        <w:rPr/>
        <w:t xml:space="preserve">.</w:t>
      </w:r>
      <w:r>
        <w:t xml:space="preserve">010</w:t>
      </w:r>
      <w:r>
        <w:rPr/>
        <w:t xml:space="preserve"> and 1994 c 189 s 4 are each amended to read as follows:</w:t>
      </w:r>
    </w:p>
    <w:p>
      <w:pPr>
        <w:spacing w:before="0" w:after="0" w:line="408" w:lineRule="exact"/>
        <w:ind w:left="0" w:right="0" w:firstLine="576"/>
        <w:jc w:val="left"/>
      </w:pPr>
      <w:r>
        <w:rPr>
          <w:u w:val="single"/>
        </w:rPr>
        <w:t xml:space="preserve">(1)</w:t>
      </w:r>
      <w:r>
        <w:rPr/>
        <w:t xml:space="preserve"> At any time within ten years after entry of a judgment for the sum of twenty-five dollars or over, unless the time is extended in accordance with RCW 6.17.020(3), upon application by the judgment creditor such court or judge may, by an order, require the judgment debtor to appear at a specified time and place before the judge granting the order, or a referee appointed by the judge, to answer concerning the same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Except as provided in subsection (4) of this section,</w:t>
      </w:r>
      <w:r>
        <w:rPr/>
        <w:t xml:space="preserve"> the judge to whom application is made under this chapter may, if it is made to appear to him or her by the affidavit of the judgment creditor, his or her agent or attorney that there is danger of the debtor absconding, order the sheriff to arrest the debtor and bring him or her before the judge granting the order. Upon being brought before the judge, he or she may be ordered to enter into a bond, with sufficient sureties, that he or she will attend from time to time before the judge or referee, as shall be directed, during the pendency of the proceedings and until the final termination thereof.</w:t>
      </w:r>
    </w:p>
    <w:p>
      <w:pPr>
        <w:spacing w:before="0" w:after="0" w:line="408" w:lineRule="exact"/>
        <w:ind w:left="0" w:right="0" w:firstLine="576"/>
        <w:jc w:val="left"/>
      </w:pPr>
      <w:r>
        <w:rPr>
          <w:u w:val="single"/>
        </w:rPr>
        <w:t xml:space="preserve">(3)</w:t>
      </w:r>
      <w:r>
        <w:rPr/>
        <w:t xml:space="preserve"> If the judgment debtor or other persons against whom the special proceedings are instituted has been served with these proceedings, the plaintiff shall be entitled to costs of service, notary fees, and an appearance fee of twenty-five dollars. If the judgment debtor or other persons fail to answer or appear, the plaintiff shall additionally be entitled to reasonable attorney fees. If a plaintiff institutes special proceedings and fails to appear, a judgment debtor or other person against whom the proceeding was instituted who appears is entitled to an appearance fee of twenty-five dollars and reasonable attorney fees.</w:t>
      </w:r>
    </w:p>
    <w:p>
      <w:pPr>
        <w:spacing w:before="0" w:after="0" w:line="408" w:lineRule="exact"/>
        <w:ind w:left="0" w:right="0" w:firstLine="576"/>
        <w:jc w:val="left"/>
      </w:pPr>
      <w:r>
        <w:rPr>
          <w:u w:val="single"/>
        </w:rPr>
        <w:t xml:space="preserve">(4) A plaintiff may not seek a warrant for the arrest of a judgment debtor for any act or failure to act that arises out of or relates to a judgment for medical debt, unless the act or failure to act constitutes a crime under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"Debtor" means any person owing or alleged to owe a claim.</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"Licensee" means any person licensed under this chapter.</w:t>
      </w:r>
    </w:p>
    <w:p>
      <w:pPr>
        <w:spacing w:before="0" w:after="0" w:line="408" w:lineRule="exact"/>
        <w:ind w:left="0" w:right="0" w:firstLine="576"/>
        <w:jc w:val="left"/>
      </w:pPr>
      <w:r>
        <w:rPr/>
        <w:t xml:space="preserve">(10) </w:t>
      </w:r>
      <w:r>
        <w:rPr>
          <w:u w:val="single"/>
        </w:rPr>
        <w:t xml:space="preserve">"Medical debt" means any obligation for the payment of money arising out of any agreement or contract, express or implied, for the provision of health care services as defined in RCW 48.44.010. In the context of "medical debt," "charity care" has the same meaning as provided in RCW 70.170.020.</w:t>
      </w:r>
    </w:p>
    <w:p>
      <w:pPr>
        <w:spacing w:before="0" w:after="0" w:line="408" w:lineRule="exact"/>
        <w:ind w:left="0" w:right="0" w:firstLine="576"/>
        <w:jc w:val="left"/>
      </w:pP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2016 c 86 s 4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w:t>
      </w:r>
      <w:r>
        <w:rPr>
          <w:u w:val="single"/>
        </w:rPr>
        <w:t xml:space="preserve">Except as provided in subsection (27)(e) of this section, a</w:t>
      </w:r>
      <w:r>
        <w:rPr/>
        <w:t xml:space="preserve">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(27) If the claim involves medical debt:</w:t>
      </w:r>
    </w:p>
    <w:p>
      <w:pPr>
        <w:spacing w:before="0" w:after="0" w:line="408" w:lineRule="exact"/>
        <w:ind w:left="0" w:right="0" w:firstLine="576"/>
        <w:jc w:val="left"/>
      </w:pPr>
      <w:r>
        <w:rPr>
          <w:u w:val="single"/>
        </w:rPr>
        <w:t xml:space="preserve">(a)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(b) of this subsection (27);</w:t>
      </w:r>
    </w:p>
    <w:p>
      <w:pPr>
        <w:spacing w:before="0" w:after="0" w:line="408" w:lineRule="exact"/>
        <w:ind w:left="0" w:right="0" w:firstLine="576"/>
        <w:jc w:val="left"/>
      </w:pPr>
      <w:r>
        <w:rPr>
          <w:u w:val="single"/>
        </w:rPr>
        <w:t xml:space="preserve">(b)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However, properly executed postjudgment writs, including writs of garnishment and execution, are not required to be ceased and second or subsequent requests for information already provided do not require the cessation of collection efforts. The itemized statement must include:</w:t>
      </w:r>
    </w:p>
    <w:p>
      <w:pPr>
        <w:spacing w:before="0" w:after="0" w:line="408" w:lineRule="exact"/>
        <w:ind w:left="0" w:right="0" w:firstLine="576"/>
        <w:jc w:val="left"/>
      </w:pPr>
      <w:r>
        <w:rPr>
          <w:u w:val="single"/>
        </w:rPr>
        <w:t xml:space="preserve">(i) The name and address of the medical creditor;</w:t>
      </w:r>
    </w:p>
    <w:p>
      <w:pPr>
        <w:spacing w:before="0" w:after="0" w:line="408" w:lineRule="exact"/>
        <w:ind w:left="0" w:right="0" w:firstLine="576"/>
        <w:jc w:val="left"/>
      </w:pPr>
      <w:r>
        <w:rPr>
          <w:u w:val="single"/>
        </w:rPr>
        <w:t xml:space="preserve">(ii) The date, dates, or date range of service;</w:t>
      </w:r>
    </w:p>
    <w:p>
      <w:pPr>
        <w:spacing w:before="0" w:after="0" w:line="408" w:lineRule="exact"/>
        <w:ind w:left="0" w:right="0" w:firstLine="576"/>
        <w:jc w:val="left"/>
      </w:pPr>
      <w:r>
        <w:rPr>
          <w:u w:val="single"/>
        </w:rPr>
        <w:t xml:space="preserve">(iii) The health care services provided to the patient as indicated by the health care provider in a statement provided to the licensee;</w:t>
      </w:r>
    </w:p>
    <w:p>
      <w:pPr>
        <w:spacing w:before="0" w:after="0" w:line="408" w:lineRule="exact"/>
        <w:ind w:left="0" w:right="0" w:firstLine="576"/>
        <w:jc w:val="left"/>
      </w:pPr>
      <w:r>
        <w:rPr>
          <w:u w:val="single"/>
        </w:rPr>
        <w:t xml:space="preserve">(iv) The amount of principal for any medical debt or debts incurred;</w:t>
      </w:r>
    </w:p>
    <w:p>
      <w:pPr>
        <w:spacing w:before="0" w:after="0" w:line="408" w:lineRule="exact"/>
        <w:ind w:left="0" w:right="0" w:firstLine="576"/>
        <w:jc w:val="left"/>
      </w:pPr>
      <w:r>
        <w:rPr>
          <w:u w:val="single"/>
        </w:rPr>
        <w:t xml:space="preserve">(v) Any adjustment to the bill, such as negotiated insurance rates or other discounts;</w:t>
      </w:r>
    </w:p>
    <w:p>
      <w:pPr>
        <w:spacing w:before="0" w:after="0" w:line="408" w:lineRule="exact"/>
        <w:ind w:left="0" w:right="0" w:firstLine="576"/>
        <w:jc w:val="left"/>
      </w:pPr>
      <w:r>
        <w:rPr>
          <w:u w:val="single"/>
        </w:rPr>
        <w:t xml:space="preserve">(vi) The amount of any payments received, whether from the patient or any other party;</w:t>
      </w:r>
    </w:p>
    <w:p>
      <w:pPr>
        <w:spacing w:before="0" w:after="0" w:line="408" w:lineRule="exact"/>
        <w:ind w:left="0" w:right="0" w:firstLine="576"/>
        <w:jc w:val="left"/>
      </w:pPr>
      <w:r>
        <w:rPr>
          <w:u w:val="single"/>
        </w:rPr>
        <w:t xml:space="preserve">(vii) Any interest or fees; and</w:t>
      </w:r>
    </w:p>
    <w:p>
      <w:pPr>
        <w:spacing w:before="0" w:after="0" w:line="408" w:lineRule="exact"/>
        <w:ind w:left="0" w:right="0" w:firstLine="576"/>
        <w:jc w:val="left"/>
      </w:pPr>
      <w:r>
        <w:rPr>
          <w:u w:val="single"/>
        </w:rPr>
        <w:t xml:space="preserve">(viii)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rPr>
          <w:u w:val="single"/>
        </w:rPr>
        <w:t xml:space="preserve">(c) Collect or attempt to collect prejudgment interest on medical debt without first providing written notice to the debtor, at least forty days prior to assessing any prejudgment interest, that the licensee intends to collect prejudgment interest. For purposes of this subsection, mailing written notice to the debtor's last known address is sufficient;</w:t>
      </w:r>
    </w:p>
    <w:p>
      <w:pPr>
        <w:spacing w:before="0" w:after="0" w:line="408" w:lineRule="exact"/>
        <w:ind w:left="0" w:right="0" w:firstLine="576"/>
        <w:jc w:val="left"/>
      </w:pPr>
      <w:r>
        <w:rPr>
          <w:u w:val="single"/>
        </w:rPr>
        <w:t xml:space="preserve">(d) Fail to provide, in the event that the licensee is made aware subsequent to providing the notice required in (c) of this subsection that a payment or adjustment has been made by a "carrier" as defined in RCW 48.44.010 or that financial assistance or charity care has been granted by the original creditor and applied to the medical debt, notice informing the debtor of the new balance and, if the licensee intends to charge prejudgment interest, that prejudgment interest on the new balance may be assessed no sooner than forty days from the date of the notice to the debtor and that prejudgment interest accrued prior to the payment or adjustment may not be collected;</w:t>
      </w:r>
    </w:p>
    <w:p>
      <w:pPr>
        <w:spacing w:before="0" w:after="0" w:line="408" w:lineRule="exact"/>
        <w:ind w:left="0" w:right="0" w:firstLine="576"/>
        <w:jc w:val="left"/>
      </w:pPr>
      <w:r>
        <w:rPr>
          <w:u w:val="single"/>
        </w:rPr>
        <w:t xml:space="preserve">(e) Report adverse information to consumer credit reporting agencies or credit bureaus until at least one hundred eighty days after the original obligation was received by the licensee for collection or by assignment.</w:t>
      </w:r>
    </w:p>
    <w:p>
      <w:pPr>
        <w:spacing w:before="0" w:after="0" w:line="408" w:lineRule="exact"/>
        <w:ind w:left="0" w:right="0" w:firstLine="576"/>
        <w:jc w:val="left"/>
      </w:pPr>
      <w:r>
        <w:rPr>
          <w:u w:val="single"/>
        </w:rPr>
        <w:t xml:space="preserve">(28) If the claim involves hospital debt:</w:t>
      </w:r>
    </w:p>
    <w:p>
      <w:pPr>
        <w:spacing w:before="0" w:after="0" w:line="408" w:lineRule="exact"/>
        <w:ind w:left="0" w:right="0" w:firstLine="576"/>
        <w:jc w:val="left"/>
      </w:pPr>
      <w:r>
        <w:rPr>
          <w:u w:val="single"/>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u w:val="single"/>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010</w:t>
      </w:r>
      <w:r>
        <w:rPr/>
        <w:t xml:space="preserve"> and 2011 c 336 s 542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e</w:t>
      </w:r>
      <w:r>
        <w:rPr/>
        <w:t xml:space="preserve">very loan or forbearance of money, goods, or thing in action shall bear interest at the rate of twelve percent per annum where no different rate is agreed to in writing between the parties: PROVIDED, That with regard to any transaction heretofore or hereafter entered into subject to this section, if an agreement in writing between the parties evidencing such transaction provides for the payment of money at the end of an agreed period of time or in installments over an agreed period of time, then such agreement shall constitute a writing for purposes of this section and satisfy the requirements thereof. The discounting of commercial paper, where the borrower makes himself or herself liable as maker, guarantor, or indorser, shall be considered as a loan for the purposes of this chapter.</w:t>
      </w:r>
    </w:p>
    <w:p>
      <w:pPr>
        <w:spacing w:before="0" w:after="0" w:line="408" w:lineRule="exact"/>
        <w:ind w:left="0" w:right="0" w:firstLine="576"/>
        <w:jc w:val="left"/>
      </w:pPr>
      <w:r>
        <w:rPr/>
        <w:t xml:space="preserve">(2)</w:t>
      </w:r>
      <w:r>
        <w:rPr>
          <w:u w:val="single"/>
        </w:rPr>
        <w:t xml:space="preserve">(a) Prejudgment interest charged or collected on medical debt, as defined in RCW 19.16.100, must not exceed the rate for interest on judgments for medical debt as set forth in RCW 4.56.110.</w:t>
      </w:r>
    </w:p>
    <w:p>
      <w:pPr>
        <w:spacing w:before="0" w:after="0" w:line="408" w:lineRule="exact"/>
        <w:ind w:left="0" w:right="0" w:firstLine="576"/>
        <w:jc w:val="left"/>
      </w:pPr>
      <w:r>
        <w:rPr>
          <w:u w:val="single"/>
        </w:rPr>
        <w:t xml:space="preserve">(b) For any medical debt for which prejudgment interest has accrued or may be accruing as of the effective date of this section, no prejudgment interest in excess of the rate for interest on judgments for medical debt as set forth in RCW 4.56.110 shall accrue thereafter.</w:t>
      </w:r>
    </w:p>
    <w:p>
      <w:pPr>
        <w:spacing w:before="0" w:after="0" w:line="408" w:lineRule="exact"/>
        <w:ind w:left="0" w:right="0" w:firstLine="576"/>
        <w:jc w:val="left"/>
      </w:pPr>
      <w:r>
        <w:rPr>
          <w:u w:val="single"/>
        </w:rPr>
        <w:t xml:space="preserve">(3)</w:t>
      </w:r>
      <w:r>
        <w:rPr/>
        <w:t xml:space="preserve"> A lease shall not be considered a loan or forbearance for the purposes of this chapter if:</w:t>
      </w:r>
    </w:p>
    <w:p>
      <w:pPr>
        <w:spacing w:before="0" w:after="0" w:line="408" w:lineRule="exact"/>
        <w:ind w:left="0" w:right="0" w:firstLine="576"/>
        <w:jc w:val="left"/>
      </w:pPr>
      <w:r>
        <w:rPr/>
        <w:t xml:space="preserve">(a) It constitutes a "consumer lease" as defined in RCW 63.10.020;</w:t>
      </w:r>
    </w:p>
    <w:p>
      <w:pPr>
        <w:spacing w:before="0" w:after="0" w:line="408" w:lineRule="exact"/>
        <w:ind w:left="0" w:right="0" w:firstLine="576"/>
        <w:jc w:val="left"/>
      </w:pPr>
      <w:r>
        <w:rPr/>
        <w:t xml:space="preserve">(b) It constitutes a lease-purchase agreement under chapter 63.19 RCW; or</w:t>
      </w:r>
    </w:p>
    <w:p>
      <w:pPr>
        <w:spacing w:before="0" w:after="0" w:line="408" w:lineRule="exact"/>
        <w:ind w:left="0" w:right="0" w:firstLine="576"/>
        <w:jc w:val="left"/>
      </w:pPr>
      <w:r>
        <w:rPr/>
        <w:t xml:space="preserve">(c) It would constitute such "consumer lease" but for the fact that:</w:t>
      </w:r>
    </w:p>
    <w:p>
      <w:pPr>
        <w:spacing w:before="0" w:after="0" w:line="408" w:lineRule="exact"/>
        <w:ind w:left="0" w:right="0" w:firstLine="576"/>
        <w:jc w:val="left"/>
      </w:pPr>
      <w:r>
        <w:rPr/>
        <w:t xml:space="preserve">(i) The lessee was not a natural person;</w:t>
      </w:r>
    </w:p>
    <w:p>
      <w:pPr>
        <w:spacing w:before="0" w:after="0" w:line="408" w:lineRule="exact"/>
        <w:ind w:left="0" w:right="0" w:firstLine="576"/>
        <w:jc w:val="left"/>
      </w:pPr>
      <w:r>
        <w:rPr/>
        <w:t xml:space="preserve">(ii) The lease was not primarily for personal, family, or household purposes; or</w:t>
      </w:r>
    </w:p>
    <w:p>
      <w:pPr>
        <w:spacing w:before="0" w:after="0" w:line="408" w:lineRule="exact"/>
        <w:ind w:left="0" w:right="0" w:firstLine="576"/>
        <w:jc w:val="left"/>
      </w:pPr>
      <w:r>
        <w:rPr/>
        <w:t xml:space="preserve">(iii) The total contractual obligation exceeded twenty-five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020</w:t>
      </w:r>
      <w:r>
        <w:rPr/>
        <w:t xml:space="preserve"> and 1989 c 14 s 3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ny rate of interest shall be legal so long as the rate of interest does not exceed the higher of: (a) Twelve percent per annum; or (b) four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later of (i) the establishment of the interest rate by written agreement of the parties to the contract, or (ii) any adjustment in the interest rate in the case of a written agreement permitting an adjustment in the interest rate. No person shall directly or indirectly take or receive in money, goods, or things in action, or in any other way, any greater interest for the loan or forbearance of any money, goods, or things in action.</w:t>
      </w:r>
    </w:p>
    <w:p>
      <w:pPr>
        <w:spacing w:before="0" w:after="0" w:line="408" w:lineRule="exact"/>
        <w:ind w:left="0" w:right="0" w:firstLine="576"/>
        <w:jc w:val="left"/>
      </w:pPr>
      <w:r>
        <w:rPr/>
        <w:t xml:space="preserve">(2)(a) In any loan of money in which the funds advanced do not exceed the sum of five hundred dollars, a setup charge may be charged and collected by the lender, and such setup charge shall not be considered interest hereunder.</w:t>
      </w:r>
    </w:p>
    <w:p>
      <w:pPr>
        <w:spacing w:before="0" w:after="0" w:line="408" w:lineRule="exact"/>
        <w:ind w:left="0" w:right="0" w:firstLine="576"/>
        <w:jc w:val="left"/>
      </w:pPr>
      <w:r>
        <w:rPr/>
        <w:t xml:space="preserve">(b) The setup charge shall not exceed four percent of the amount of funds advanced, or fifteen dollars, whichever is the lesser, except that on loans of under one hundred dollars a minimum not exceeding four dollars may be so charged.</w:t>
      </w:r>
    </w:p>
    <w:p>
      <w:pPr>
        <w:spacing w:before="0" w:after="0" w:line="408" w:lineRule="exact"/>
        <w:ind w:left="0" w:right="0" w:firstLine="576"/>
        <w:jc w:val="left"/>
      </w:pPr>
      <w:r>
        <w:rPr/>
        <w:t xml:space="preserve">(3) Any loan made pursuant to a commitment to lend at an interest rate permitted at the time the commitment is made shall not be usurious. Credit extended pursuant to an open-end credit agreement upon which interest is computed on the basis of a balance or balances outstanding during a billing cycle shall not be usurious if on any one day during the billing cycle the rate at which interest is charged for the billing cycle is not usurious.</w:t>
      </w:r>
    </w:p>
    <w:p>
      <w:pPr>
        <w:spacing w:before="0" w:after="0" w:line="408" w:lineRule="exact"/>
        <w:ind w:left="0" w:right="0" w:firstLine="576"/>
        <w:jc w:val="left"/>
      </w:pPr>
      <w:r>
        <w:rPr>
          <w:u w:val="single"/>
        </w:rPr>
        <w:t xml:space="preserve">(4)(a) Prejudgment interest charged or collected on medical debt, as defined in RCW 19.16.100, must not exceed the rate for interest on judgments for medical debt as set forth in RCW 4.56.110.</w:t>
      </w:r>
    </w:p>
    <w:p>
      <w:pPr>
        <w:spacing w:before="0" w:after="0" w:line="408" w:lineRule="exact"/>
        <w:ind w:left="0" w:right="0" w:firstLine="576"/>
        <w:jc w:val="left"/>
      </w:pPr>
      <w:r>
        <w:rPr>
          <w:u w:val="single"/>
        </w:rPr>
        <w:t xml:space="preserve">(b) For any medical debt for which prejudgment interest has accrued or may be accruing as of the effective date of this section, no prejudgment interest in excess of the rate for interest on judgments for medical debt as set forth in RCW 4.56.110 shall accrue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No health care provider or health care facility may sell or assign medical debt to any person licensed under chapter 19.16 RCW until at least one hundred twenty days after the initial billing statement for that medical debt has been transmitted to the patient or other responsible party.</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"Health care facility" has the same meaning as provided in RCW 70.02.010.</w:t>
      </w:r>
    </w:p>
    <w:p>
      <w:pPr>
        <w:spacing w:before="0" w:after="0" w:line="408" w:lineRule="exact"/>
        <w:ind w:left="0" w:right="0" w:firstLine="576"/>
        <w:jc w:val="left"/>
      </w:pPr>
      <w:r>
        <w:rPr/>
        <w:t xml:space="preserve">(b) "Health care provider" has the same meaning as provided in RCW 70.02.010.</w:t>
      </w:r>
    </w:p>
    <w:p>
      <w:pPr>
        <w:spacing w:before="0" w:after="0" w:line="408" w:lineRule="exact"/>
        <w:ind w:left="0" w:right="0" w:firstLine="576"/>
        <w:jc w:val="left"/>
      </w:pPr>
      <w:r>
        <w:rPr/>
        <w:t xml:space="preserve">(c) "Medical debt" has the same meaning as provided in RCW 19.16.100.</w:t>
      </w:r>
    </w:p>
    <w:p/>
    <w:p>
      <w:pPr>
        <w:jc w:val="center"/>
      </w:pPr>
      <w:r>
        <w:rPr>
          <w:b/>
        </w:rPr>
        <w:t>--- END ---</w:t>
      </w:r>
    </w:p>
    <w:sectPr>
      <w:pgNumType w:start="1"/>
      <w:footerReference xmlns:r="http://schemas.openxmlformats.org/officeDocument/2006/relationships" r:id="Rf2855e20519d4e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54b8841c1b498d" /><Relationship Type="http://schemas.openxmlformats.org/officeDocument/2006/relationships/footer" Target="/word/footer1.xml" Id="Rf2855e20519d4e3e" /></Relationships>
</file>