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7fd73a76c648d1" /></Relationships>
</file>

<file path=word/document.xml><?xml version="1.0" encoding="utf-8"?>
<w:document xmlns:w="http://schemas.openxmlformats.org/wordprocessingml/2006/main">
  <w:body>
    <w:p>
      <w:r>
        <w:t>S-1851.3</w:t>
      </w:r>
    </w:p>
    <w:p>
      <w:pPr>
        <w:jc w:val="center"/>
      </w:pPr>
      <w:r>
        <w:t>_______________________________________________</w:t>
      </w:r>
    </w:p>
    <w:p/>
    <w:p>
      <w:pPr>
        <w:jc w:val="center"/>
      </w:pPr>
      <w:r>
        <w:rPr>
          <w:b/>
        </w:rPr>
        <w:t>SUBSTITUTE SENATE BILL 5526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Frockt, Cleveland, Kuderer, Randall, Keiser, Dhingra, Conway, Wellman, Darneille, Hunt, Hobbs, Das, Liias, Nguyen, Pedersen, Rolfes, Saldaña, and Van De Wege; by request of Office of the Governor)</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quality, affordable health coverage in the individual market; adding a new section to chapter 43.71 RCW; adding a new section to chapter 42.56 RCW; adding a new section to chapter 41.05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w:t>
      </w:r>
    </w:p>
    <w:p>
      <w:pPr>
        <w:spacing w:before="0" w:after="0" w:line="408" w:lineRule="exact"/>
        <w:ind w:left="0" w:right="0" w:firstLine="576"/>
        <w:jc w:val="left"/>
      </w:pPr>
      <w:r>
        <w:rPr/>
        <w:t xml:space="preserve">(2)(a) Beginning January 1, 2021, any health carrier offering a qualified health plan on the exchange must offer one silver standardized health plan and one gold standardized health plan on the exchange. If a health carrier offers a bronze health plan on the exchange, it must offer one bronze standardized health plan on the exchange.</w:t>
      </w:r>
    </w:p>
    <w:p>
      <w:pPr>
        <w:spacing w:before="0" w:after="0" w:line="408" w:lineRule="exact"/>
        <w:ind w:left="0" w:right="0" w:firstLine="576"/>
        <w:jc w:val="left"/>
      </w:pPr>
      <w:r>
        <w:rPr/>
        <w:t xml:space="preserve">(b) For plan years 2021 through 2024, a health carrier offering a standardized health plan under this section may also offer nonstandardized health plans on the exchange subject to the following:</w:t>
      </w:r>
    </w:p>
    <w:p>
      <w:pPr>
        <w:spacing w:before="0" w:after="0" w:line="408" w:lineRule="exact"/>
        <w:ind w:left="0" w:right="0" w:firstLine="576"/>
        <w:jc w:val="left"/>
      </w:pPr>
      <w:r>
        <w:rPr/>
        <w:t xml:space="preserve">(i) For plan years 2021 and 2022, a health carrier may offer an unlimited number of nonstandardized health plans on the exchange;</w:t>
      </w:r>
    </w:p>
    <w:p>
      <w:pPr>
        <w:spacing w:before="0" w:after="0" w:line="408" w:lineRule="exact"/>
        <w:ind w:left="0" w:right="0" w:firstLine="576"/>
        <w:jc w:val="left"/>
      </w:pPr>
      <w:r>
        <w:rPr/>
        <w:t xml:space="preserve">(ii) For plan years 2023 and 2024, a health carrier may not offer more than three nonstandardized health plans in each of the bronze, silver, and gold levels on the exchange; and</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w:t>
      </w:r>
    </w:p>
    <w:p>
      <w:pPr>
        <w:spacing w:before="0" w:after="0" w:line="408" w:lineRule="exact"/>
        <w:ind w:left="0" w:right="0" w:firstLine="576"/>
        <w:jc w:val="left"/>
      </w:pPr>
      <w:r>
        <w:rPr/>
        <w:t xml:space="preserve">(c) For health plan years beginning in 2025, a health carrier may not offer more than two nonstandardized health plans in each of the bronze, silver, and gold levels on the exchange.</w:t>
      </w:r>
    </w:p>
    <w:p>
      <w:pPr>
        <w:spacing w:before="0" w:after="0" w:line="408" w:lineRule="exact"/>
        <w:ind w:left="0" w:right="0" w:firstLine="576"/>
        <w:jc w:val="left"/>
      </w:pPr>
      <w:r>
        <w:rPr/>
        <w:t xml:space="preserve">(d)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Any data submitted by health carriers to the health benefit exchange for purposes of establishing standardized benefit plans under section 1 of this act are confidential and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silver and gold qualified health plans on the Washington health benefit exchange for plan years beginning in 2021.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section 1 of this act;</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must use a managed care model that includes care coordination care management to enrollees as appropriate; and</w:t>
      </w:r>
    </w:p>
    <w:p>
      <w:pPr>
        <w:spacing w:before="0" w:after="0" w:line="408" w:lineRule="exact"/>
        <w:ind w:left="0" w:right="0" w:firstLine="576"/>
        <w:jc w:val="left"/>
      </w:pPr>
      <w:r>
        <w:rPr/>
        <w:t xml:space="preserve">(e)(i) Except as provided in (e)(ii) of this subsection (1), the qualified health plan's fee-for-service rates for providers and facilities may not exceed the medicare rates for the same or similar covered services in the same or similar geographic area. For reimbursement methodologies other than fee-for-service, the aggregate amount the qualified health plan pays to providers and facilities may not exceed the equivalent of the aggregate amount the qualified health plan would have reimbursed providers and facilities using fee-for-service medicare rates.</w:t>
      </w:r>
    </w:p>
    <w:p>
      <w:pPr>
        <w:spacing w:before="0" w:after="0" w:line="408" w:lineRule="exact"/>
        <w:ind w:left="0" w:right="0" w:firstLine="576"/>
        <w:jc w:val="left"/>
      </w:pPr>
      <w:r>
        <w:rPr/>
        <w:t xml:space="preserve">(ii) For services provided by rural hospitals certified by the centers for medicare and medicaid services as critical access hospitals or sole community hospitals, the rates may not be less than one hundred one percent of allowable costs.</w:t>
      </w:r>
    </w:p>
    <w:p>
      <w:pPr>
        <w:spacing w:before="0" w:after="0" w:line="408" w:lineRule="exact"/>
        <w:ind w:left="0" w:right="0" w:firstLine="576"/>
        <w:jc w:val="left"/>
      </w:pPr>
      <w:r>
        <w:rPr/>
        <w:t xml:space="preserve">(2) When implementing this section, the director must use a request for qualifications process. The director must review the qualifications of health carriers seeking to offer qualified health plans under this section and may negotiate with the health plans to the extent necessary to refine the health carriers' responses. The director must contract with all health carriers who meet the minimum qualifications.</w:t>
      </w:r>
    </w:p>
    <w:p>
      <w:pPr>
        <w:spacing w:before="0" w:after="0" w:line="408" w:lineRule="exact"/>
        <w:ind w:left="0" w:right="0" w:firstLine="576"/>
        <w:jc w:val="left"/>
      </w:pPr>
      <w:r>
        <w:rPr/>
        <w:t xml:space="preserve">(3)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health benefit exchange, in consultation with the health care authority and the insurance commissioner, must develop a plan to implement and fund premium subsidies for individuals whose modified adjusted gross incomes are less than five hundred percent of the federal poverty level and who are purchasing individual market coverage on the exchange. The goal of the plan is to enable participating individuals to spend no more than ten percent of their modified adjusted gross incomes on premiums. The plan must also include an assessment of providing cost-sharing reductions to plan participants.</w:t>
      </w:r>
    </w:p>
    <w:p>
      <w:pPr>
        <w:spacing w:before="0" w:after="0" w:line="408" w:lineRule="exact"/>
        <w:ind w:left="0" w:right="0" w:firstLine="576"/>
        <w:jc w:val="left"/>
      </w:pPr>
      <w:r>
        <w:rPr/>
        <w:t xml:space="preserve">(2) The Washington health benefit exchange must submit the plan, along with proposed implementing legislation, to the appropriate committees of the legislature by November 15, 2020.</w:t>
      </w:r>
    </w:p>
    <w:p>
      <w:pPr>
        <w:spacing w:before="0" w:after="0" w:line="408" w:lineRule="exact"/>
        <w:ind w:left="0" w:right="0" w:firstLine="576"/>
        <w:jc w:val="left"/>
      </w:pPr>
      <w:r>
        <w:rPr/>
        <w:t xml:space="preserve">(3) This section expires January 1, 2021.</w:t>
      </w:r>
    </w:p>
    <w:p/>
    <w:p>
      <w:pPr>
        <w:jc w:val="center"/>
      </w:pPr>
      <w:r>
        <w:rPr>
          <w:b/>
        </w:rPr>
        <w:t>--- END ---</w:t>
      </w:r>
    </w:p>
    <w:sectPr>
      <w:pgNumType w:start="1"/>
      <w:footerReference xmlns:r="http://schemas.openxmlformats.org/officeDocument/2006/relationships" r:id="Rc93cf091f40340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91226bb73b45fb" /><Relationship Type="http://schemas.openxmlformats.org/officeDocument/2006/relationships/footer" Target="/word/footer1.xml" Id="Rc93cf091f4034047" /></Relationships>
</file>