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8179e102114395" /></Relationships>
</file>

<file path=word/document.xml><?xml version="1.0" encoding="utf-8"?>
<w:document xmlns:w="http://schemas.openxmlformats.org/wordprocessingml/2006/main">
  <w:body>
    <w:p>
      <w:r>
        <w:t>S-0919.1</w:t>
      </w:r>
    </w:p>
    <w:p>
      <w:pPr>
        <w:jc w:val="center"/>
      </w:pPr>
      <w:r>
        <w:t>_______________________________________________</w:t>
      </w:r>
    </w:p>
    <w:p/>
    <w:p>
      <w:pPr>
        <w:jc w:val="center"/>
      </w:pPr>
      <w:r>
        <w:rPr>
          <w:b/>
        </w:rPr>
        <w:t>SENATE BILL 5522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Takko</w:t>
      </w:r>
    </w:p>
    <w:p/>
    <w:p>
      <w:r>
        <w:rPr>
          <w:t xml:space="preserve">Read first time 01/23/19.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code cities with the ability to annex unincorporated areas pursuant to a jointly approved interlocal agreement with the county; adding a new section to chapter 35A.14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city annexations of unincorporated areas within the county they are located in will be more efficient and effective if the county and city develop a jointly approved interlocal agreement so as not to create illogical boundaries or islands of unincorporated territory.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 code city as provided in subsection (2) of this section may annex unincorporated territory pursuant to an interlocal agreement.</w:t>
      </w:r>
    </w:p>
    <w:p>
      <w:pPr>
        <w:spacing w:before="0" w:after="0" w:line="408" w:lineRule="exact"/>
        <w:ind w:left="0" w:right="0" w:firstLine="576"/>
        <w:jc w:val="left"/>
      </w:pPr>
      <w:r>
        <w:rPr/>
        <w:t xml:space="preserve">(2) The county legislative authority of a county and the governing body of a code city may jointly initiate an annexation process for unincorporated territory by adopting an interlocal agreement as provided in chapter 39.34 RCW between the county and code city within the county.</w:t>
      </w:r>
    </w:p>
    <w:p>
      <w:pPr>
        <w:spacing w:before="0" w:after="0" w:line="408" w:lineRule="exact"/>
        <w:ind w:left="0" w:right="0" w:firstLine="576"/>
        <w:jc w:val="left"/>
      </w:pPr>
      <w:r>
        <w:rPr/>
        <w:t xml:space="preserve">(3) The county and code city shall jointly agree on the boundaries of the annexation. The interlocal agreement shall describe the boundaries of the territory to be annexed and set a date for a public hearing on such agreement for annexation. A public hearing shall be held by each legislative body, separately or jointly, before the agreement is executed. Each legislative body holding a public hearing shall, separately or jointly, publish the agreement at least once a week for two weeks before the date of the hearing in one or more newspapers of general circulation within the code city and one or more newspapers of general circulation within the territory proposed for annexation.</w:t>
      </w:r>
    </w:p>
    <w:p>
      <w:pPr>
        <w:spacing w:before="0" w:after="0" w:line="408" w:lineRule="exact"/>
        <w:ind w:left="0" w:right="0" w:firstLine="576"/>
        <w:jc w:val="left"/>
      </w:pPr>
      <w:r>
        <w:rPr/>
        <w:t xml:space="preserve">(4) On the date set for hearing, residents or property owners of the area included in the resolution for annexation shall be afforded an opportunity to be heard. Following the hearing, if the legislative body determines to effect the annexation, they shall do so by ordinance. If the annexation ordinance provides for assumption of indebtedness or adoption of a proposed zoning regulation, the notice shall include a statement of such requirements. Upon passage of the annexation ordinance a certified copy shall be filed with the board of county commissioners of the county in which the annexed property is located.</w:t>
      </w:r>
    </w:p>
    <w:p/>
    <w:p>
      <w:pPr>
        <w:jc w:val="center"/>
      </w:pPr>
      <w:r>
        <w:rPr>
          <w:b/>
        </w:rPr>
        <w:t>--- END ---</w:t>
      </w:r>
    </w:p>
    <w:sectPr>
      <w:pgNumType w:start="1"/>
      <w:footerReference xmlns:r="http://schemas.openxmlformats.org/officeDocument/2006/relationships" r:id="R99cb58fac9e744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bc057ca51d4b9f" /><Relationship Type="http://schemas.openxmlformats.org/officeDocument/2006/relationships/footer" Target="/word/footer1.xml" Id="R99cb58fac9e74454" /></Relationships>
</file>