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500842115f43cb" /></Relationships>
</file>

<file path=word/document.xml><?xml version="1.0" encoding="utf-8"?>
<w:document xmlns:w="http://schemas.openxmlformats.org/wordprocessingml/2006/main">
  <w:body>
    <w:p>
      <w:r>
        <w:t>S-1379.2</w:t>
      </w:r>
    </w:p>
    <w:p>
      <w:pPr>
        <w:jc w:val="center"/>
      </w:pPr>
      <w:r>
        <w:t>_______________________________________________</w:t>
      </w:r>
    </w:p>
    <w:p/>
    <w:p>
      <w:pPr>
        <w:jc w:val="center"/>
      </w:pPr>
      <w:r>
        <w:rPr>
          <w:b/>
        </w:rPr>
        <w:t>SUBSTITUTE SENATE BILL 5514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Padden, Wellman, Zeiger, and Frockt)</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first responder agency notifications to schools regarding potential threats; and amending RCW 28A.320.125.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2017 c 165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t xml:space="preserve">(iii) "Evacuation," used to move students and staff away from threats, such as fires, oil train spills,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Use of the school mapping information system in at least one of the safety-related drills; and</w:t>
      </w:r>
    </w:p>
    <w:p>
      <w:pPr>
        <w:spacing w:before="0" w:after="0" w:line="408" w:lineRule="exact"/>
        <w:ind w:left="0" w:right="0" w:firstLine="576"/>
        <w:jc w:val="left"/>
      </w:pPr>
      <w:r>
        <w:rPr/>
        <w:t xml:space="preserve">(ii) A pedestrian evacuation drill for schools in mapped tsunami hazard zones.</w:t>
      </w:r>
    </w:p>
    <w:p>
      <w:pPr>
        <w:spacing w:before="0" w:after="0" w:line="408" w:lineRule="exact"/>
        <w:ind w:left="0" w:right="0" w:firstLine="576"/>
        <w:jc w:val="left"/>
      </w:pPr>
      <w:r>
        <w:rPr/>
        <w:t xml:space="preserve">(d) The drills described in (b) of this subsection may incorporate an earthquake drill using the state-approved earthquake safety technique "drop, cover, and hold."</w:t>
      </w:r>
    </w:p>
    <w:p>
      <w:pPr>
        <w:spacing w:before="0" w:after="0" w:line="408" w:lineRule="exact"/>
        <w:ind w:left="0" w:right="0" w:firstLine="576"/>
        <w:jc w:val="left"/>
      </w:pPr>
      <w:r>
        <w:rPr/>
        <w:t xml:space="preserve">(e)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rPr/>
        <w:t xml:space="preserve">(f) This subsection (6)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Pr>
        <w:spacing w:before="0" w:after="0" w:line="408" w:lineRule="exact"/>
        <w:ind w:left="0" w:right="0" w:firstLine="576"/>
        <w:jc w:val="left"/>
      </w:pPr>
      <w:r>
        <w:rPr>
          <w:u w:val="single"/>
        </w:rPr>
        <w:t xml:space="preserve">(9)(a) Whenever a first responder agency notifies a school of a situation that may necessitate an evacuation or lockdown, the agency must determine if other known schools in the vicinity are similarly threatened. The first responder agency must notify every other known school in the vicinity for which an evacuation or lockdown appears reasonably necessary to the agency's incident commander unless the agency is unable to notify schools due to duties directly tied to responding to the incident occurring. For purposes of this subsection, "school" includes a private school under chapter 28A.195 RCW.</w:t>
      </w:r>
    </w:p>
    <w:p>
      <w:pPr>
        <w:spacing w:before="0" w:after="0" w:line="408" w:lineRule="exact"/>
        <w:ind w:left="0" w:right="0" w:firstLine="576"/>
        <w:jc w:val="left"/>
      </w:pPr>
      <w:r>
        <w:rPr>
          <w:u w:val="single"/>
        </w:rPr>
        <w:t xml:space="preserve">(b) A first responder agency and its officers, agents, and employees are not liable for any act, or failure to act, under this subsection unless a first responder agency and its officers, agents, and employees acted with willful disregard.</w:t>
      </w:r>
    </w:p>
    <w:p/>
    <w:p>
      <w:pPr>
        <w:jc w:val="center"/>
      </w:pPr>
      <w:r>
        <w:rPr>
          <w:b/>
        </w:rPr>
        <w:t>--- END ---</w:t>
      </w:r>
    </w:p>
    <w:sectPr>
      <w:pgNumType w:start="1"/>
      <w:footerReference xmlns:r="http://schemas.openxmlformats.org/officeDocument/2006/relationships" r:id="R30c201904c1d4d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3da3a9e42e46dd" /><Relationship Type="http://schemas.openxmlformats.org/officeDocument/2006/relationships/footer" Target="/word/footer1.xml" Id="R30c201904c1d4d32" /></Relationships>
</file>