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5e2fe00bac4daa" /></Relationships>
</file>

<file path=word/document.xml><?xml version="1.0" encoding="utf-8"?>
<w:document xmlns:w="http://schemas.openxmlformats.org/wordprocessingml/2006/main">
  <w:body>
    <w:p>
      <w:r>
        <w:t>S-5244.1</w:t>
      </w:r>
    </w:p>
    <w:p>
      <w:pPr>
        <w:jc w:val="center"/>
      </w:pPr>
      <w:r>
        <w:t>_______________________________________________</w:t>
      </w:r>
    </w:p>
    <w:p/>
    <w:p>
      <w:pPr>
        <w:jc w:val="center"/>
      </w:pPr>
      <w:r>
        <w:rPr>
          <w:b/>
        </w:rPr>
        <w:t>SECOND SUBSTITUTE SENATE BILL 5488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Darneille, Saldaña, Wilson, C., Keiser, and Nguyen)</w:t>
      </w:r>
    </w:p>
    <w:p/>
    <w:p>
      <w:r>
        <w:rPr>
          <w:t xml:space="preserve">READ FIRST TIME 01/23/20.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sentencing of youth and young adults; and amending RCW 9.94A.533 and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 Regardless of any provisions in this section, if a person is being sentenced in adult court for a crime committed under age eighteen, the court has full discretion to depart from mandatory sentencing enhancements and to take the particular circumstances surrounding the defendant's youth into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2019 c 219 s 1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u w:val="single"/>
        </w:rPr>
        <w:t xml:space="preserve">(l) The defendant is less culpable because of youthfulness at the time of the offense, which is demonstrated by age, susceptibility to peer pressure, lack of sophistication or maturity, or other factors not shown in a fully developed adult.</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t xml:space="preserve">(ff) The current offense involved the assault of a utility employee of any publicly or privately owned utility company or agency, who is at the time of the act engaged in official duties, including: (i) The maintenance or repair of utility poles, lines, conduits, pipes, or other infrastructure; or (ii) connecting, disconnecting, or recording utility meters.</w:t>
      </w:r>
    </w:p>
    <w:p/>
    <w:p>
      <w:pPr>
        <w:jc w:val="center"/>
      </w:pPr>
      <w:r>
        <w:rPr>
          <w:b/>
        </w:rPr>
        <w:t>--- END ---</w:t>
      </w:r>
    </w:p>
    <w:sectPr>
      <w:pgNumType w:start="1"/>
      <w:footerReference xmlns:r="http://schemas.openxmlformats.org/officeDocument/2006/relationships" r:id="R5e05e94f86e846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2f43a6508643d4" /><Relationship Type="http://schemas.openxmlformats.org/officeDocument/2006/relationships/footer" Target="/word/footer1.xml" Id="R5e05e94f86e8462b" /></Relationships>
</file>