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410d4682134eac" /></Relationships>
</file>

<file path=word/document.xml><?xml version="1.0" encoding="utf-8"?>
<w:document xmlns:w="http://schemas.openxmlformats.org/wordprocessingml/2006/main">
  <w:body>
    <w:p>
      <w:r>
        <w:t>S-2373.4</w:t>
      </w:r>
    </w:p>
    <w:p>
      <w:pPr>
        <w:jc w:val="center"/>
      </w:pPr>
      <w:r>
        <w:t>_______________________________________________</w:t>
      </w:r>
    </w:p>
    <w:p/>
    <w:p>
      <w:pPr>
        <w:jc w:val="center"/>
      </w:pPr>
      <w:r>
        <w:rPr>
          <w:b/>
        </w:rPr>
        <w:t>SECOND SUBSTITUTE SENATE BILL 5444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Dhingra, O'Ban, Darneille, Wagoner, Frockt, Kuderer, and Nguyen; by request of Office of the Governor)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timely competency evaluations and restoration services to persons suffering from behavioral health disorders within the framework of the forensic mental health care system consistent with the requirements agreed to in the Trueblood settlement agreement; amending RCW 10.31.110, 10.77.086, and 10.77.088; adding a new section to chapter 10.77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has been a nationwide increase in the number of individuals with behavioral health disorders in the criminal justice system. The legislature also recognizes that reforms must be made to our own behavioral health systems and services to meet the increasing demands in our state, to provide timely competency evaluations and restoration services, and to comply with federal court orders issued in </w:t>
      </w:r>
      <w:r>
        <w:rPr>
          <w:i/>
        </w:rPr>
        <w:t xml:space="preserve">A.B., by and through Trueblood, et al., v. DSHS, et al.</w:t>
      </w:r>
      <w:r>
        <w:rPr/>
        <w:t xml:space="preserve">, No. 15-35462 ("Trueblood"). The legislature acknowledges that these reforms will require the support of a broad range of stakeholders, including local law enforcement, prosecuting attorneys, defense attorneys, community members, and health care providers. The legislature further acknowledges the significant efforts of the parties to the Trueblood litigation to establish a roadmap and framework within their settlement agreement for proposed systemic reforms to the forensic mental health care system. It is the intent of the legislature to enact appropriate reforms consistent with the goals agreed to in the Trueblood settlement agreement, to continue to engage with stakeholders and community partners to address the needs of this vulnerable population, and to ensure that the public safety needs of our communities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limitations described in this subsection, a court may appoint an impartial forensic navigator employed by or contracted with the department to assist individuals who have been referred for competency evaluation.</w:t>
      </w:r>
    </w:p>
    <w:p>
      <w:pPr>
        <w:spacing w:before="0" w:after="0" w:line="408" w:lineRule="exact"/>
        <w:ind w:left="0" w:right="0" w:firstLine="576"/>
        <w:jc w:val="left"/>
      </w:pPr>
      <w:r>
        <w:rPr/>
        <w:t xml:space="preserve">(2) A forensic navigator must assist the individual to navigate the legal process and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To present information to the court in order to assist the court in understanding the treatment options available to the individual to support the entry of orders for diversion from the forensic mental health system or for community outpatient competency restoration; and</w:t>
      </w:r>
    </w:p>
    <w:p>
      <w:pPr>
        <w:spacing w:before="0" w:after="0" w:line="408" w:lineRule="exact"/>
        <w:ind w:left="0" w:right="0" w:firstLine="576"/>
        <w:jc w:val="left"/>
      </w:pPr>
      <w:r>
        <w:rPr/>
        <w:t xml:space="preserve">(d)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Prior to the conclusion of outpatient restoration services, facilitating a coordinated transition of the individual to a case manager in the community behavioral health system;</w:t>
      </w:r>
    </w:p>
    <w:p>
      <w:pPr>
        <w:spacing w:before="0" w:after="0" w:line="408" w:lineRule="exact"/>
        <w:ind w:left="0" w:right="0" w:firstLine="576"/>
        <w:jc w:val="left"/>
      </w:pPr>
      <w:r>
        <w:rPr/>
        <w:t xml:space="preserve">(viii) Following up with the individual to check whether the meeting with a community-based case manager took place;</w:t>
      </w:r>
    </w:p>
    <w:p>
      <w:pPr>
        <w:spacing w:before="0" w:after="0" w:line="408" w:lineRule="exact"/>
        <w:ind w:left="0" w:right="0" w:firstLine="576"/>
        <w:jc w:val="left"/>
      </w:pPr>
      <w:r>
        <w:rPr/>
        <w:t xml:space="preserve">(ix) When the individual is a high utilizer, attempting to connect the individual with high utilizer services; and</w:t>
      </w:r>
    </w:p>
    <w:p>
      <w:pPr>
        <w:spacing w:before="0" w:after="0" w:line="408" w:lineRule="exact"/>
        <w:ind w:left="0" w:right="0" w:firstLine="576"/>
        <w:jc w:val="left"/>
      </w:pPr>
      <w:r>
        <w:rPr/>
        <w:t xml:space="preserve">(x) Checking up on the individual at least once per month for up to sixty days after coordinated transition to community behavioral health services, without duplicating the services of the community-based case manager.</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If, after the forensic navigator has advised the criminal court, the court does not order the individual into outpatient competency restoration services, the role of the navigator must end.</w:t>
      </w:r>
    </w:p>
    <w:p>
      <w:pPr>
        <w:spacing w:before="0" w:after="0" w:line="408" w:lineRule="exact"/>
        <w:ind w:left="0" w:right="0" w:firstLine="576"/>
        <w:jc w:val="left"/>
      </w:pPr>
      <w:r>
        <w:rPr/>
        <w:t xml:space="preserve">(6) Forensic navigators shall be deemed officers of the court for the purpose of immunity from civil liability.</w:t>
      </w:r>
    </w:p>
    <w:p>
      <w:pPr>
        <w:spacing w:before="0" w:after="0" w:line="408" w:lineRule="exact"/>
        <w:ind w:left="0" w:right="0" w:firstLine="576"/>
        <w:jc w:val="left"/>
      </w:pPr>
      <w:r>
        <w:rPr/>
        <w:t xml:space="preserve">(7)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(8) A prosecutor may dismiss charges against an individual whenever mental illness or competency to stand trial has become an issue.</w:t>
      </w:r>
    </w:p>
    <w:p>
      <w:pPr>
        <w:spacing w:before="0" w:after="0" w:line="408" w:lineRule="exact"/>
        <w:ind w:left="0" w:right="0" w:firstLine="576"/>
        <w:jc w:val="left"/>
      </w:pPr>
      <w:r>
        <w:rPr/>
        <w:t xml:space="preserve">(9)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w:t>
      </w:r>
      <w:r>
        <w:t>((</w:t>
      </w:r>
      <w:r>
        <w:rPr>
          <w:strike/>
        </w:rPr>
        <w:t xml:space="preserve">nonfelony</w:t>
      </w:r>
      <w:r>
        <w:t>))</w:t>
      </w:r>
      <w:r>
        <w:rPr/>
        <w:t xml:space="preserve"> crime </w:t>
      </w:r>
      <w:r>
        <w:t>((</w:t>
      </w:r>
      <w:r>
        <w:rPr>
          <w:strike/>
        </w:rPr>
        <w:t xml:space="preserve">that is not a serious offense as identified in RCW 10.77.092</w:t>
      </w:r>
      <w:r>
        <w:t>))</w:t>
      </w:r>
      <w:r>
        <w:rPr>
          <w:u w:val="single"/>
        </w:rPr>
        <w:t xml:space="preserve">,</w:t>
      </w:r>
      <w:r>
        <w:rPr/>
        <w:t xml:space="preserve"> and the individual is known by history or consultation with the behavioral health organization</w:t>
      </w:r>
      <w:r>
        <w:rPr>
          <w:u w:val="single"/>
        </w:rPr>
        <w:t xml:space="preserve">, managed care organization, behavioral health administrative services organization, crisis hotline, or local crisis services providers</w:t>
      </w:r>
      <w:r>
        <w:rPr/>
        <w:t xml:space="preserve"> to suffer from a mental disorder, the arresting officer may:</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w:t>
      </w:r>
      <w:r>
        <w:rPr>
          <w:u w:val="single"/>
        </w:rPr>
        <w:t xml:space="preserve">make reasonable efforts to</w:t>
      </w:r>
      <w:r>
        <w:rPr/>
        <w:t xml:space="preserve"> inform the arresting officer of the </w:t>
      </w:r>
      <w:r>
        <w:rPr>
          <w:u w:val="single"/>
        </w:rPr>
        <w:t xml:space="preserve">planned</w:t>
      </w:r>
      <w:r>
        <w:rPr/>
        <w:t xml:space="preserve"> release </w:t>
      </w:r>
      <w:r>
        <w:t>((</w:t>
      </w:r>
      <w:r>
        <w:rPr>
          <w:strike/>
        </w:rPr>
        <w:t xml:space="preserve">within a reasonable period of time after the</w:t>
      </w:r>
      <w:r>
        <w:t>))</w:t>
      </w:r>
      <w:r>
        <w:rPr/>
        <w:t xml:space="preserve"> </w:t>
      </w:r>
      <w:r>
        <w:rPr>
          <w:u w:val="single"/>
        </w:rPr>
        <w:t xml:space="preserve">prior to</w:t>
      </w:r>
      <w:r>
        <w:rPr/>
        <w:t xml:space="preserv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w:t>
      </w:r>
      <w:r>
        <w:t>((</w:t>
      </w:r>
      <w:r>
        <w:rPr>
          <w:strike/>
        </w:rPr>
        <w:t xml:space="preserve">shall</w:t>
      </w:r>
      <w:r>
        <w:t>))</w:t>
      </w:r>
      <w:r>
        <w:rPr/>
        <w:t xml:space="preserve"> </w:t>
      </w:r>
      <w:r>
        <w:rPr>
          <w:u w:val="single"/>
        </w:rPr>
        <w:t xml:space="preserve">must</w:t>
      </w:r>
      <w:r>
        <w:rPr/>
        <w:t xml:space="preserve"> be guided by </w:t>
      </w:r>
      <w:r>
        <w:t>((</w:t>
      </w:r>
      <w:r>
        <w:rPr>
          <w:strike/>
        </w:rPr>
        <w:t xml:space="preserve">standards</w:t>
      </w:r>
      <w:r>
        <w:t>))</w:t>
      </w:r>
      <w:r>
        <w:rPr/>
        <w:t xml:space="preserve"> </w:t>
      </w:r>
      <w:r>
        <w:rPr>
          <w:u w:val="single"/>
        </w:rPr>
        <w:t xml:space="preserve">local law enforcement diversion guidelines for behavioral health developed and</w:t>
      </w:r>
      <w:r>
        <w:rPr/>
        <w:t xml:space="preserve"> mutually agreed upon with the prosecuting authority</w:t>
      </w:r>
      <w:r>
        <w:t>((</w:t>
      </w:r>
      <w:r>
        <w:rPr>
          <w:strike/>
        </w:rPr>
        <w:t xml:space="preserve">, which</w:t>
      </w:r>
      <w:r>
        <w:t>))</w:t>
      </w:r>
      <w:r>
        <w:rPr/>
        <w:t xml:space="preserve"> </w:t>
      </w:r>
      <w:r>
        <w:rPr>
          <w:u w:val="single"/>
        </w:rPr>
        <w:t xml:space="preserve">with an opportunity for consultation and comment by the defense bar and disability community. These guidelines must</w:t>
      </w:r>
      <w:r>
        <w:rPr/>
        <w:t xml:space="preserve"> address, at a minimum, the length, seriousness, and recency of the known criminal history of the individual, the mental health history of the individual, </w:t>
      </w:r>
      <w:r>
        <w:t>((</w:t>
      </w:r>
      <w:r>
        <w:rPr>
          <w:strike/>
        </w:rPr>
        <w:t xml:space="preserve">where</w:t>
      </w:r>
      <w:r>
        <w:t>))</w:t>
      </w:r>
      <w:r>
        <w:rPr/>
        <w:t xml:space="preserve"> </w:t>
      </w:r>
      <w:r>
        <w:rPr>
          <w:u w:val="single"/>
        </w:rPr>
        <w:t xml:space="preserve">if</w:t>
      </w:r>
      <w:r>
        <w:rPr/>
        <w:t xml:space="preserve"> available, </w:t>
      </w:r>
      <w:r>
        <w:rPr>
          <w:u w:val="single"/>
        </w:rPr>
        <w:t xml:space="preserve">the opinions of a mental health professional, if available,</w:t>
      </w:r>
      <w:r>
        <w:rPr/>
        <w:t xml:space="preserve"> and the circumstances surrounding the commission of the alleged offense. </w:t>
      </w:r>
      <w:r>
        <w:rPr>
          <w:u w:val="single"/>
        </w:rPr>
        <w:t xml:space="preserve">The guidelines must include a process for clearing outstanding warrants or referring the individual for assistance in clearing outstanding warrants, if any, and issuing a new court date, if appropriate, without booking or incarcerating the individual or disqualifying him or her from referral to treatment under this section, and define the circumstances under which such action is permissible.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0" w:after="0" w:line="408" w:lineRule="exact"/>
        <w:ind w:left="0" w:right="0" w:firstLine="576"/>
        <w:jc w:val="left"/>
      </w:pPr>
      <w:r>
        <w:rPr>
          <w:u w:val="single"/>
        </w:rPr>
        <w:t xml:space="preserve">(7) The Washington association of sheriffs and police chiefs shall collect and maintain a file of written local law enforcement diversion guidelines for behavioral health developed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2015 1st sp.s. c 7 s 5 are each amended to read as follows:</w:t>
      </w:r>
    </w:p>
    <w:p>
      <w:pPr>
        <w:spacing w:before="0" w:after="0" w:line="408" w:lineRule="exact"/>
        <w:ind w:left="0" w:right="0" w:firstLine="576"/>
        <w:jc w:val="left"/>
      </w:pPr>
      <w:r>
        <w:rPr/>
        <w:t xml:space="preserve">(1)(a)(i) If the defendant is charged with a felony and determined to be incompetent, until he or she has regained the competency necessary to understand the proceedings against him or her and assist in his or her own defense, but in any event for a period of no longer than ninety days, the court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 or</w:t>
      </w:r>
    </w:p>
    <w:p>
      <w:pPr>
        <w:spacing w:before="0" w:after="0" w:line="408" w:lineRule="exact"/>
        <w:ind w:left="0" w:right="0" w:firstLine="576"/>
        <w:jc w:val="left"/>
      </w:pPr>
      <w:r>
        <w:rPr>
          <w:strike/>
        </w:rPr>
        <w:t xml:space="preserve">(B)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The court may order the defendant to receive inpatient competency restoration or outpatient competency restoration based on the clinical recommendation in the competency evaluation.</w:t>
      </w:r>
    </w:p>
    <w:p>
      <w:pPr>
        <w:spacing w:before="0" w:after="0" w:line="408" w:lineRule="exact"/>
        <w:ind w:left="0" w:right="0" w:firstLine="576"/>
        <w:jc w:val="left"/>
      </w:pPr>
      <w:r>
        <w:rPr>
          <w:u w:val="single"/>
        </w:rPr>
        <w:t xml:space="preserve">(A) To be eligible for an order for outpatient competency restoration, a defendant must be:</w:t>
      </w:r>
    </w:p>
    <w:p>
      <w:pPr>
        <w:spacing w:before="0" w:after="0" w:line="408" w:lineRule="exact"/>
        <w:ind w:left="0" w:right="0" w:firstLine="576"/>
        <w:jc w:val="left"/>
      </w:pPr>
      <w:r>
        <w:rPr>
          <w:u w:val="single"/>
        </w:rPr>
        <w:t xml:space="preserve">(I) Adherent to medications or willing to receive prescribed intravenous medication;</w:t>
      </w:r>
    </w:p>
    <w:p>
      <w:pPr>
        <w:spacing w:before="0" w:after="0" w:line="408" w:lineRule="exact"/>
        <w:ind w:left="0" w:right="0" w:firstLine="576"/>
        <w:jc w:val="left"/>
      </w:pPr>
      <w:r>
        <w:rPr>
          <w:u w:val="single"/>
        </w:rPr>
        <w:t xml:space="preserve">(II) Abstinent from alcohol or unprescribed drugs; and</w:t>
      </w:r>
    </w:p>
    <w:p>
      <w:pPr>
        <w:spacing w:before="0" w:after="0" w:line="408" w:lineRule="exact"/>
        <w:ind w:left="0" w:right="0" w:firstLine="576"/>
        <w:jc w:val="left"/>
      </w:pPr>
      <w:r>
        <w:rPr>
          <w:u w:val="single"/>
        </w:rPr>
        <w:t xml:space="preserve">(III) Clinically stable.</w:t>
      </w:r>
    </w:p>
    <w:p>
      <w:pPr>
        <w:spacing w:before="0" w:after="0" w:line="408" w:lineRule="exact"/>
        <w:ind w:left="0" w:right="0" w:firstLine="576"/>
        <w:jc w:val="left"/>
      </w:pPr>
      <w:r>
        <w:rPr>
          <w:u w:val="single"/>
        </w:rPr>
        <w:t xml:space="preserve">(B) If the court orders inpatient competency restoration, the department shall place the defendant in an appropriate facility of the department for evaluation and treatment.</w:t>
      </w:r>
    </w:p>
    <w:p>
      <w:pPr>
        <w:spacing w:before="0" w:after="0" w:line="408" w:lineRule="exact"/>
        <w:ind w:left="0" w:right="0" w:firstLine="576"/>
        <w:jc w:val="left"/>
      </w:pPr>
      <w:r>
        <w:rPr>
          <w:u w:val="single"/>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must establish conditions of participation in the outpatient competency restoration program which must include the defendant being subject to medication monitoring and daily urinalysis.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u w:val="single"/>
        </w:rPr>
        <w:t xml:space="preserve">(D) If a defendant fails to comply with the restrictions of the outpatient restoration program, such that restoration is no longer possible in that setting, the department shall remove the defendant from the outpatient restoration program and place the defendant instead in an appropriate facility of the department for inpatient competency restoration. The department shall promptly notify the court and parties and the forensic navigator, if applicable, of the change in placement. The inpatient competency restoration period following a change in placement under this subsection must be for the time remaining on the current competency restoration order.</w:t>
      </w:r>
    </w:p>
    <w:p>
      <w:pPr>
        <w:spacing w:before="0" w:after="0" w:line="408" w:lineRule="exact"/>
        <w:ind w:left="0" w:right="0" w:firstLine="576"/>
        <w:jc w:val="left"/>
      </w:pPr>
      <w:r>
        <w:rPr>
          <w:u w:val="single"/>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w:t>
      </w:r>
    </w:p>
    <w:p>
      <w:pPr>
        <w:spacing w:before="0" w:after="0" w:line="408" w:lineRule="exact"/>
        <w:ind w:left="0" w:right="0" w:firstLine="576"/>
        <w:jc w:val="left"/>
      </w:pPr>
      <w:r>
        <w:rPr/>
        <w:t xml:space="preserve">(ii) The ninety day period for </w:t>
      </w:r>
      <w:r>
        <w:t>((</w:t>
      </w:r>
      <w:r>
        <w:rPr>
          <w:strike/>
        </w:rPr>
        <w:t xml:space="preserve">evaluation and treatment</w:t>
      </w:r>
      <w:r>
        <w:t>))</w:t>
      </w:r>
      <w:r>
        <w:rPr/>
        <w:t xml:space="preserve"> </w:t>
      </w:r>
      <w:r>
        <w:rPr>
          <w:u w:val="single"/>
        </w:rPr>
        <w:t xml:space="preserve">competency restoration</w:t>
      </w:r>
      <w:r>
        <w:rPr/>
        <w:t xml:space="preserve">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(c) If the court determines </w:t>
      </w:r>
      <w:r>
        <w:t>((</w:t>
      </w:r>
      <w:r>
        <w:rPr>
          <w:strike/>
        </w:rPr>
        <w:t xml:space="preserve">or the parties agree</w:t>
      </w:r>
      <w:r>
        <w:t>))</w:t>
      </w:r>
      <w:r>
        <w:rPr/>
        <w:t xml:space="preserv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or if the court or jury at any stage finds that the defendant is incompetent and the court determines that the defendant is unlikely to regain competency,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u w:val="single"/>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in which case the court must schedule a hearing to determine whether to enter an order of competency restoration.</w:t>
      </w:r>
    </w:p>
    <w:p>
      <w:pPr>
        <w:spacing w:before="0" w:after="0" w:line="408" w:lineRule="exact"/>
        <w:ind w:left="0" w:right="0" w:firstLine="576"/>
        <w:jc w:val="left"/>
      </w:pPr>
      <w:r>
        <w:rPr>
          <w:u w:val="single"/>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and any history that suggests whether or not competency restoration treatment is likely to be successful. If the prosecuting attorney proves by a preponderance of the evidence that there is a compelling state interest in ordering competency restoration, then the court shall order competency restoration in accordance with subsection (2)(a) of this section.</w:t>
      </w:r>
    </w:p>
    <w:p>
      <w:pPr>
        <w:spacing w:before="0" w:after="0" w:line="408" w:lineRule="exact"/>
        <w:ind w:left="0" w:right="0" w:firstLine="576"/>
        <w:jc w:val="left"/>
      </w:pPr>
      <w:r>
        <w:rPr>
          <w:u w:val="single"/>
        </w:rPr>
        <w:t xml:space="preserve">(2)(a) If a court finds pursuant to subsection (1)(b) of this section that there is a compelling state interest in pursuing competency restoration treatment, then the court</w:t>
      </w:r>
      <w:r>
        <w:rPr/>
        <w:t xml:space="preserve"> </w:t>
      </w:r>
      <w:r>
        <w:t>((</w:t>
      </w:r>
      <w:r>
        <w:rPr>
          <w:strike/>
        </w:rPr>
        <w:t xml:space="preserve">(i)</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w:t>
      </w:r>
    </w:p>
    <w:p>
      <w:pPr>
        <w:spacing w:before="0" w:after="0" w:line="408" w:lineRule="exact"/>
        <w:ind w:left="0" w:right="0" w:firstLine="576"/>
        <w:jc w:val="left"/>
      </w:pPr>
      <w:r>
        <w:rPr>
          <w:strik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The court may order the defendant to receive inpatient competency restoration or outpatient competency restoration based on the clinical recommendation in the competency evaluation.</w:t>
      </w:r>
    </w:p>
    <w:p>
      <w:pPr>
        <w:spacing w:before="0" w:after="0" w:line="408" w:lineRule="exact"/>
        <w:ind w:left="0" w:right="0" w:firstLine="576"/>
        <w:jc w:val="left"/>
      </w:pPr>
      <w:r>
        <w:rPr>
          <w:u w:val="single"/>
        </w:rPr>
        <w:t xml:space="preserve">(i) To be eligible for an order for outpatient competency restoration, a defendant must be:</w:t>
      </w:r>
    </w:p>
    <w:p>
      <w:pPr>
        <w:spacing w:before="0" w:after="0" w:line="408" w:lineRule="exact"/>
        <w:ind w:left="0" w:right="0" w:firstLine="576"/>
        <w:jc w:val="left"/>
      </w:pPr>
      <w:r>
        <w:rPr>
          <w:u w:val="single"/>
        </w:rPr>
        <w:t xml:space="preserve">(A) Adherent to medications or willing to receive prescribed intravenous medication;</w:t>
      </w:r>
    </w:p>
    <w:p>
      <w:pPr>
        <w:spacing w:before="0" w:after="0" w:line="408" w:lineRule="exact"/>
        <w:ind w:left="0" w:right="0" w:firstLine="576"/>
        <w:jc w:val="left"/>
      </w:pPr>
      <w:r>
        <w:rPr>
          <w:u w:val="single"/>
        </w:rPr>
        <w:t xml:space="preserve">(B) Abstinent from alcohol or unprescribed drugs; and</w:t>
      </w:r>
    </w:p>
    <w:p>
      <w:pPr>
        <w:spacing w:before="0" w:after="0" w:line="408" w:lineRule="exact"/>
        <w:ind w:left="0" w:right="0" w:firstLine="576"/>
        <w:jc w:val="left"/>
      </w:pPr>
      <w:r>
        <w:rPr>
          <w:u w:val="single"/>
        </w:rPr>
        <w:t xml:space="preserve">(C) Clinically stable.</w:t>
      </w:r>
    </w:p>
    <w:p>
      <w:pPr>
        <w:spacing w:before="0" w:after="0" w:line="408" w:lineRule="exact"/>
        <w:ind w:left="0" w:right="0" w:firstLine="576"/>
        <w:jc w:val="left"/>
      </w:pPr>
      <w:r>
        <w:rPr>
          <w:u w:val="single"/>
        </w:rPr>
        <w:t xml:space="preserve">(ii) If the court orders inpatient competency restoration, the department shall place the defendant in an appropriate facility of the department for evaluation and treatment under (b) of this subsection.</w:t>
      </w:r>
    </w:p>
    <w:p>
      <w:pPr>
        <w:spacing w:before="0" w:after="0" w:line="408" w:lineRule="exact"/>
        <w:ind w:left="0" w:right="0" w:firstLine="576"/>
        <w:jc w:val="left"/>
      </w:pPr>
      <w:r>
        <w:rPr>
          <w:u w:val="single"/>
        </w:rPr>
        <w:t xml:space="preserve">(iii)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shall establish conditions of participation in the outpatient competency restoration program which must include the defendant being subject to medication monitoring and daily urinalysis.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u w:val="single"/>
        </w:rPr>
        <w:t xml:space="preserve">(iv) If a defendant fails to comply with the restrictions of the outpatient competency restoration program, such that restoration is no longer possible in that setting, the department shall remove the defendant from the outpatient restoration program and place the defendant instead in an appropriate facility of the department for inpatient competency restoration. The department shall promptly notify the court and parties and the forensic navigator, if applicable, of the change in placement. The inpatient competency restoration period following a change in placement under this subsection must be for the time remaining on the current competency restoration order.</w:t>
      </w:r>
    </w:p>
    <w:p>
      <w:pPr>
        <w:spacing w:before="0" w:after="0" w:line="408" w:lineRule="exact"/>
        <w:ind w:left="0" w:right="0" w:firstLine="576"/>
        <w:jc w:val="left"/>
      </w:pPr>
      <w:r>
        <w:rPr>
          <w:u w:val="single"/>
        </w:rPr>
        <w:t xml:space="preserve">(v) The court may not issue an order for outpatient competency restoration unless the department certifies that there is an available appropriate outpatient restoration program that has adequate space for the person at the time the order is issued.</w:t>
      </w:r>
    </w:p>
    <w:p>
      <w:pPr>
        <w:spacing w:before="0" w:after="0" w:line="408" w:lineRule="exact"/>
        <w:ind w:left="0" w:right="0" w:firstLine="576"/>
        <w:jc w:val="left"/>
      </w:pPr>
      <w:r>
        <w:rPr>
          <w:u w:val="single"/>
        </w:rPr>
        <w:t xml:space="preserve">(b)</w:t>
      </w:r>
      <w:r>
        <w:rPr/>
        <w:t xml:space="preserve"> The placement under (a) </w:t>
      </w:r>
      <w:r>
        <w:t>((</w:t>
      </w:r>
      <w:r>
        <w:rPr>
          <w:strike/>
        </w:rPr>
        <w:t xml:space="preserve">(i) and (ii)</w:t>
      </w:r>
      <w:r>
        <w:t>))</w:t>
      </w:r>
      <w:r>
        <w:rPr/>
        <w:t xml:space="preserve"> of this subsection shall not exceed </w:t>
      </w:r>
      <w:r>
        <w:t>((</w:t>
      </w:r>
      <w:r>
        <w:rPr>
          <w:strike/>
        </w:rPr>
        <w:t xml:space="preserve">fourteen</w:t>
      </w:r>
      <w:r>
        <w:t>))</w:t>
      </w:r>
      <w:r>
        <w:rPr/>
        <w:t xml:space="preserve"> </w:t>
      </w:r>
      <w:r>
        <w:rPr>
          <w:u w:val="single"/>
        </w:rPr>
        <w:t xml:space="preserve">twenty-nine</w:t>
      </w:r>
      <w:r>
        <w:rPr/>
        <w:t xml:space="preserve"> days </w:t>
      </w:r>
      <w:r>
        <w:t>((</w:t>
      </w:r>
      <w:r>
        <w:rPr>
          <w:strike/>
        </w:rPr>
        <w:t xml:space="preserve">in addition to any unused time of the evaluation under RCW 10.77.060. The court shall compute this total period and include its computation in the order. The fourteen-day period plus any unused time of the evaluation under RCW 10.77.060 shall</w:t>
      </w:r>
      <w:r>
        <w:t>))</w:t>
      </w:r>
      <w:r>
        <w:rPr/>
        <w:t xml:space="preserve"> </w:t>
      </w:r>
      <w:r>
        <w:rPr>
          <w:u w:val="single"/>
        </w:rPr>
        <w:t xml:space="preserve">if the defendant is ordered to receive inpatient competency restoration, or shall not exceed ninety days if the defendant is ordered to receive outpatient competency restoration. The court may order any combination of this subsection. This period must</w:t>
      </w:r>
      <w:r>
        <w:rPr/>
        <w:t xml:space="preserve"> be considered to include only the time the defendant is actually at the facility and shall be in addition to reasonable time for transport to or from the facility</w:t>
      </w:r>
      <w:r>
        <w:t>((</w:t>
      </w:r>
      <w:r>
        <w:rPr>
          <w:strike/>
        </w:rPr>
        <w:t xml:space="preserve">;</w:t>
      </w:r>
    </w:p>
    <w:p>
      <w:pPr>
        <w:spacing w:before="0" w:after="0" w:line="408" w:lineRule="exact"/>
        <w:ind w:left="0" w:right="0" w:firstLine="576"/>
        <w:jc w:val="left"/>
      </w:pPr>
      <w:r>
        <w:rPr>
          <w:strike/>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strike/>
        </w:rPr>
        <w:t xml:space="preserve">(iv) May order any combination of this subsection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has determined </w:t>
      </w:r>
      <w:r>
        <w:t>((</w:t>
      </w:r>
      <w:r>
        <w:rPr>
          <w:strike/>
        </w:rPr>
        <w:t xml:space="preserve">or the parties agree</w:t>
      </w:r>
      <w:r>
        <w:t>))</w:t>
      </w:r>
      <w:r>
        <w:rPr/>
        <w:t xml:space="preserv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
      <w:pPr>
        <w:jc w:val="center"/>
      </w:pPr>
      <w:r>
        <w:rPr>
          <w:b/>
        </w:rPr>
        <w:t>--- END ---</w:t>
      </w:r>
    </w:p>
    <w:sectPr>
      <w:pgNumType w:start="1"/>
      <w:footerReference xmlns:r="http://schemas.openxmlformats.org/officeDocument/2006/relationships" r:id="R0bce7d04c8fd42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3d7cd778564fe4" /><Relationship Type="http://schemas.openxmlformats.org/officeDocument/2006/relationships/footer" Target="/word/footer1.xml" Id="R0bce7d04c8fd4219" /></Relationships>
</file>