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905d3aca1643f2" /></Relationships>
</file>

<file path=word/document.xml><?xml version="1.0" encoding="utf-8"?>
<w:document xmlns:w="http://schemas.openxmlformats.org/wordprocessingml/2006/main">
  <w:body>
    <w:p>
      <w:r>
        <w:t>S-0690.1</w:t>
      </w:r>
    </w:p>
    <w:p>
      <w:pPr>
        <w:jc w:val="center"/>
      </w:pPr>
      <w:r>
        <w:t>_______________________________________________</w:t>
      </w:r>
    </w:p>
    <w:p/>
    <w:p>
      <w:pPr>
        <w:jc w:val="center"/>
      </w:pPr>
      <w:r>
        <w:rPr>
          <w:b/>
        </w:rPr>
        <w:t>SENATE BILL 5426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Mullet, Palumbo, Rivers, Nguyen, Dhingra, and Rolfes</w:t>
      </w:r>
    </w:p>
    <w:p/>
    <w:p>
      <w:r>
        <w:rPr>
          <w:t xml:space="preserve">Read first time 01/21/19.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from hydrofluorocarbons; amending RCW 70.235.010, 70.94.430, 70.94.431, and 70.94.015; adding a new section to chapter 70.235 RCW; adding a new section to chapter 19.27 RCW; adding a new section to chapter 39.26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hydrofluorocarbons are air pollutants that pose significant threats to our environment and that safer alternatives for the most damaging hydrofluorocarbons are readily available and cost-effective.</w:t>
      </w:r>
    </w:p>
    <w:p>
      <w:pPr>
        <w:spacing w:before="0" w:after="0" w:line="408" w:lineRule="exact"/>
        <w:ind w:left="0" w:right="0" w:firstLine="576"/>
        <w:jc w:val="left"/>
      </w:pPr>
      <w:r>
        <w:rPr/>
        <w:t xml:space="preserve">(2) Hydrofluorocarbons came into widespread commercial use as an United States environmental protection agency approved replacement for ozone-depleting substances that were being phased out under an international agreement. However, under a 2017 federal appeals court ruling, while the environmental protection agency had been given the power to originally designate hydrofluorocarbons as a suitable replacement for the ozone-depleting substances, the environmental protection agency did not have clear authority to require the replacement of hydrofluorocarbons once the replacement of the original ozone-depleting substances had already occurred.</w:t>
      </w:r>
    </w:p>
    <w:p>
      <w:pPr>
        <w:spacing w:before="0" w:after="0" w:line="408" w:lineRule="exact"/>
        <w:ind w:left="0" w:right="0" w:firstLine="576"/>
        <w:jc w:val="left"/>
      </w:pPr>
      <w:r>
        <w:rPr/>
        <w:t xml:space="preserve">(3) Because the impacts of climate change will not wait until congress acts to clarify the scope of the environmental protection agency's authority, it falls to the states to provide leadership on phasing out hydrofluorocarbons. Doing so will not only help the climate, but will help American businesses retain their positions as global leaders in air conditioning and refrigerant technologies. Although hydrofluorocarbons represent a small proportion of the state greenhouse gas emissions, emissions of hydrofluorocarbons have been rapidly increasing in the United States and worldwide, and they are thousands of times more potent than carbon dioxide. However, hydrofluorocarbons are also a segment of the state's emissions that will be comparatively easy to reduce and eliminate without widespread implications for the way that power is produced, heavy industries operate, or people transport themselves. Phasing out the use of hydrofluorocarbons will provide a significant boost to the state's efforts to reduce its greenhouse gas emissions to the limits established in RCW 70.235.020.</w:t>
      </w:r>
    </w:p>
    <w:p>
      <w:pPr>
        <w:spacing w:before="0" w:after="0" w:line="408" w:lineRule="exact"/>
        <w:ind w:left="0" w:right="0" w:firstLine="576"/>
        <w:jc w:val="left"/>
      </w:pPr>
      <w:r>
        <w:rPr/>
        <w:t xml:space="preserve">(4) Therefore, it is the intent of the legislature to phase out the use of hydrofluorocarbons in various applications in Washington, in a manner similar to the regulations that were adopted by the environmental protection agency, and that have been subsequently adopted or will be adopted in several other states around the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"Program" means the department's climate change program.</w:t>
      </w:r>
    </w:p>
    <w:p>
      <w:pPr>
        <w:spacing w:before="0" w:after="0" w:line="408" w:lineRule="exact"/>
        <w:ind w:left="0" w:right="0" w:firstLine="576"/>
        <w:jc w:val="left"/>
      </w:pPr>
      <w:r>
        <w:rPr/>
        <w:t xml:space="preserve">(9)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0" w:after="0" w:line="408" w:lineRule="exact"/>
        <w:ind w:left="0" w:right="0" w:firstLine="576"/>
        <w:jc w:val="left"/>
      </w:pPr>
      <w:r>
        <w:rPr>
          <w:u w:val="single"/>
        </w:rPr>
        <w:t xml:space="preserve">(10) "Class I substance" and "class II substance" means those substances listed in 42 U.S.C. Sec. 7671a, as it read on November 15, 1990, or those substances listed in Appendix A or B of Subpart A of 40 C.F.R. Part 82, as those read on January 3, 2017.</w:t>
      </w:r>
    </w:p>
    <w:p>
      <w:pPr>
        <w:spacing w:before="0" w:after="0" w:line="408" w:lineRule="exact"/>
        <w:ind w:left="0" w:right="0" w:firstLine="576"/>
        <w:jc w:val="left"/>
      </w:pPr>
      <w:r>
        <w:rPr>
          <w:u w:val="single"/>
        </w:rPr>
        <w:t xml:space="preserve">(11) "Hydrofluorocarbons" means a class of greenhouse gases that are saturated organic compounds containing hydrogen, fluorine, and carbon.</w:t>
      </w:r>
    </w:p>
    <w:p>
      <w:pPr>
        <w:spacing w:before="0" w:after="0" w:line="408" w:lineRule="exact"/>
        <w:ind w:left="0" w:right="0" w:firstLine="576"/>
        <w:jc w:val="left"/>
      </w:pPr>
      <w:r>
        <w:rPr>
          <w:u w:val="single"/>
        </w:rPr>
        <w:t xml:space="preserve">(12) "Residential consumer refrigeration products" has the same meaning as defined in section 430.2 of Subpart A of 10 C.F.R. Part 430 (2017).</w:t>
      </w:r>
    </w:p>
    <w:p>
      <w:pPr>
        <w:spacing w:before="0" w:after="0" w:line="408" w:lineRule="exact"/>
        <w:ind w:left="0" w:right="0" w:firstLine="576"/>
        <w:jc w:val="left"/>
      </w:pPr>
      <w:r>
        <w:rPr>
          <w:u w:val="single"/>
        </w:rPr>
        <w:t xml:space="preserve">(13) "Substitute" means a chemical, product substitute, or alternative manufacturing process, whether existing or new, that is used to perform a function previously performed by a class I substance or class II substance and any substitute subsequently adopted to perform that function, including, but not limited to, hydrofluorocarbons.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A person may not use, sell, install, or offer for lease, rent, or otherwise cause any equipment or product to enter into commerce in Washington if that equipment or product consists of, uses, or will use a substitute, as set forth in Appendix U and Appendix V of Subpart G of 40 C.F.R. Part 82, and the portion of Appendix B of Subpart G of 40 C.F.R Part 82 pertaining to motor vehicle air conditioning, as those read on January 3, 2017, for the applications or end uses restricted by the federal regulation, consistent with the deadlines established in subsection (2) of this section.</w:t>
      </w:r>
    </w:p>
    <w:p>
      <w:pPr>
        <w:spacing w:before="0" w:after="0" w:line="408" w:lineRule="exact"/>
        <w:ind w:left="0" w:right="0" w:firstLine="576"/>
        <w:jc w:val="left"/>
      </w:pPr>
      <w:r>
        <w:rPr/>
        <w:t xml:space="preserve">(2) The restrictions under subsection (1) of this section for the following products and equipment identified in Appendix B, Appendix U, and Appendix V of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polystyrene applications, polyolefin, phenolic insulation board, and bunstock;</w:t>
      </w:r>
    </w:p>
    <w:p>
      <w:pPr>
        <w:spacing w:before="0" w:after="0" w:line="408" w:lineRule="exact"/>
        <w:ind w:left="0" w:right="0" w:firstLine="576"/>
        <w:jc w:val="left"/>
      </w:pPr>
      <w:r>
        <w:rPr/>
        <w:t xml:space="preserve">(iii) Supermarket systems, remote condensing units, stand-alone units, and vending machines;</w:t>
      </w:r>
    </w:p>
    <w:p>
      <w:pPr>
        <w:spacing w:before="0" w:after="0" w:line="408" w:lineRule="exact"/>
        <w:ind w:left="0" w:right="0" w:firstLine="576"/>
        <w:jc w:val="left"/>
      </w:pPr>
      <w:r>
        <w:rPr/>
        <w:t xml:space="preserve">(b) January 1, 2021, for refrigerated food processing and dispensing equipment;</w:t>
      </w:r>
    </w:p>
    <w:p>
      <w:pPr>
        <w:spacing w:before="0" w:after="0" w:line="408" w:lineRule="exact"/>
        <w:ind w:left="0" w:right="0" w:firstLine="576"/>
        <w:jc w:val="left"/>
      </w:pPr>
      <w:r>
        <w:rPr/>
        <w:t xml:space="preserve">(c) January 1, 2022, for residential consumer refrigeration products other than built-in residential consumer refrigeration products;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w:t>
      </w:r>
    </w:p>
    <w:p>
      <w:pPr>
        <w:spacing w:before="0" w:after="0" w:line="408" w:lineRule="exact"/>
        <w:ind w:left="0" w:right="0" w:firstLine="576"/>
        <w:jc w:val="left"/>
      </w:pPr>
      <w:r>
        <w:rPr/>
        <w:t xml:space="preserve">(g) Model year 2021 for light duty vehicles; and</w:t>
      </w:r>
    </w:p>
    <w:p>
      <w:pPr>
        <w:spacing w:before="0" w:after="0" w:line="408" w:lineRule="exact"/>
        <w:ind w:left="0" w:right="0" w:firstLine="576"/>
        <w:jc w:val="left"/>
      </w:pPr>
      <w:r>
        <w:rPr/>
        <w:t xml:space="preserve">(h) On either January 1, 2020, or the effective date of the restrictions identified in Appendix B, Appendix U, and Appendix V of Subpart G of 40 C.F.R. Part 82, as those read on January 3, 2017, whichever comes later, for all other applications and end uses for substitutes not covered by the categories listed in (a) through (g)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Create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w:t>
      </w:r>
    </w:p>
    <w:p>
      <w:pPr>
        <w:spacing w:before="0" w:after="0" w:line="408" w:lineRule="exact"/>
        <w:ind w:left="0" w:right="0" w:firstLine="576"/>
        <w:jc w:val="left"/>
      </w:pPr>
      <w:r>
        <w:rPr/>
        <w:t xml:space="preserve"> (4) A person that offers equipment or a product for sale for which the use of a substitute is restricted under subsection (2) or (3) of this section must retain records relating to the person's compliance with this chapter. The department may require a person that manufacturers or offers equipment or a product for sale that is subject to the restrictions on the use of substitutes under this section to fulfill the following, with respect to the use of substitutes associated with the equipment or product:</w:t>
      </w:r>
    </w:p>
    <w:p>
      <w:pPr>
        <w:spacing w:before="0" w:after="0" w:line="408" w:lineRule="exact"/>
        <w:ind w:left="0" w:right="0" w:firstLine="576"/>
        <w:jc w:val="left"/>
      </w:pPr>
      <w:r>
        <w:rPr/>
        <w:t xml:space="preserve">(a) Disclose the use of substitutes on the label of the equipment or product; and</w:t>
      </w:r>
    </w:p>
    <w:p>
      <w:pPr>
        <w:spacing w:before="0" w:after="0" w:line="408" w:lineRule="exact"/>
        <w:ind w:left="0" w:right="0" w:firstLine="576"/>
        <w:jc w:val="left"/>
      </w:pPr>
      <w:r>
        <w:rPr/>
        <w:t xml:space="preserve">(b) Submit information about the use of substitutes to the department, upon request.</w:t>
      </w:r>
    </w:p>
    <w:p>
      <w:pPr>
        <w:spacing w:before="0" w:after="0" w:line="408" w:lineRule="exact"/>
        <w:ind w:left="0" w:right="0" w:firstLine="576"/>
        <w:jc w:val="left"/>
      </w:pPr>
      <w:r>
        <w:rPr/>
        <w:t xml:space="preserve">(5) The department may adopt rules to administer, implement, and enforce this section. The department should seek, where feasible and appropriate, to adopt rules, including rules under subsection (4) of this section, that are consistent with the regulatory standards, exemptions, reporting obligations, and other compliance requirements of other states that have adopted restrictions on the use of hydrofluorocarbons and other substitutes.</w:t>
      </w:r>
    </w:p>
    <w:p>
      <w:pPr>
        <w:spacing w:before="0" w:after="0" w:line="408" w:lineRule="exact"/>
        <w:ind w:left="0" w:right="0" w:firstLine="576"/>
        <w:jc w:val="left"/>
      </w:pPr>
      <w:r>
        <w:rPr/>
        <w:t xml:space="preserve">(6) The authority granted by this section to the department for restricting the use of substitutes is supplementary to the department's authority to control air pollution pursuant to chapter 70.94 RCW. Nothing in this section limits the authority of the department under chapter 70.94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430</w:t>
      </w:r>
      <w:r>
        <w:rPr/>
        <w:t xml:space="preserve"> and 2011 c 96 s 49 are each amended to read as follows:</w:t>
      </w:r>
    </w:p>
    <w:p>
      <w:pPr>
        <w:spacing w:before="0" w:after="0" w:line="408" w:lineRule="exact"/>
        <w:ind w:left="0" w:right="0" w:firstLine="576"/>
        <w:jc w:val="left"/>
      </w:pPr>
      <w:r>
        <w:rPr/>
        <w:t xml:space="preserve">(1) Any person who knowingly violates any of the provisions of chapter 70.94 or 70.120 RCW, </w:t>
      </w:r>
      <w:r>
        <w:rPr>
          <w:u w:val="single"/>
        </w:rPr>
        <w:t xml:space="preserve">section 3 of this act,</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70.94.100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2013 c 51 s 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43.05.060 through 43.05.080 and 43.05.150, and in addition to or as an alternate to any other penalty provided by law, any person who violates any of the provisions of this chapter, chapter 70.120 </w:t>
      </w:r>
      <w:r>
        <w:t>((</w:t>
      </w:r>
      <w:r>
        <w:rPr>
          <w:strike/>
        </w:rPr>
        <w:t xml:space="preserve">RCW, chapter</w:t>
      </w:r>
      <w:r>
        <w:t>))</w:t>
      </w:r>
      <w:r>
        <w:rPr/>
        <w:t xml:space="preserve"> </w:t>
      </w:r>
      <w:r>
        <w:rPr>
          <w:u w:val="single"/>
        </w:rPr>
        <w:t xml:space="preserve">or</w:t>
      </w:r>
      <w:r>
        <w:rPr/>
        <w:t xml:space="preserve"> 70.310 RCW, </w:t>
      </w:r>
      <w:r>
        <w:rPr>
          <w:u w:val="single"/>
        </w:rPr>
        <w:t xml:space="preserve">section 3 of this act,</w:t>
      </w:r>
      <w:r>
        <w:rPr/>
        <w:t xml:space="preserve"> or any of the rules in force under such chapters </w:t>
      </w:r>
      <w:r>
        <w:rPr>
          <w:u w:val="single"/>
        </w:rPr>
        <w:t xml:space="preserve">or section</w:t>
      </w:r>
      <w:r>
        <w:rPr/>
        <w:t xml:space="preserve">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u w:val="single"/>
        </w:rPr>
        <w:t xml:space="preserve">(b)</w:t>
      </w:r>
      <w:r>
        <w:rPr/>
        <w:t xml:space="preserve">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w:t>
      </w:r>
      <w:r>
        <w:rPr>
          <w:u w:val="single"/>
        </w:rPr>
        <w:t xml:space="preserve">(a)</w:t>
      </w:r>
      <w:r>
        <w:rPr/>
        <w:t xml:space="preserve">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u w:val="single"/>
        </w:rPr>
        <w:t xml:space="preserve">(b)</w:t>
      </w:r>
      <w:r>
        <w:rPr/>
        <w:t xml:space="preserve">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70.94.015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w:t>
      </w:r>
      <w:r>
        <w:t>((</w:t>
      </w:r>
      <w:r>
        <w:rPr>
          <w:strike/>
        </w:rPr>
        <w:t xml:space="preserve">By January 1, 1992,</w:t>
      </w:r>
      <w:r>
        <w:t>))</w:t>
      </w:r>
      <w:r>
        <w:rPr/>
        <w:t xml:space="preserve"> </w:t>
      </w:r>
      <w:r>
        <w:rPr>
          <w:u w:val="single"/>
        </w:rPr>
        <w:t xml:space="preserve">T</w:t>
      </w:r>
      <w:r>
        <w:rPr/>
        <w:t xml:space="preserve">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1998 c 321 s 33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w:t>
      </w:r>
      <w:r>
        <w:t>((</w:t>
      </w:r>
      <w:r>
        <w:rPr>
          <w:strike/>
        </w:rPr>
        <w:t xml:space="preserve">70.94.650, 70.94.660, 82.44.020(2), and 82.50.405</w:t>
      </w:r>
      <w:r>
        <w:t>))</w:t>
      </w:r>
      <w:r>
        <w:rPr/>
        <w:t xml:space="preserve"> </w:t>
      </w:r>
      <w:r>
        <w:rPr>
          <w:u w:val="single"/>
        </w:rPr>
        <w:t xml:space="preserve">70.94.6528 and 70.94.6534</w:t>
      </w:r>
      <w:r>
        <w:rPr/>
        <w:t xml:space="preserve"> shall be deposited into the account. Moneys in the account may be spent only after appropriation. Expenditures from the account may be used only to develop and implement the provisions of chapters 70.94 and 70.120 RCW </w:t>
      </w:r>
      <w:r>
        <w:rPr>
          <w:u w:val="single"/>
        </w:rPr>
        <w:t xml:space="preserve">and section 3 of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building code council shall adopt rules that permit the use of allowed substitutes consistent with section 3 of this act and that do not require the use of substitutes that are restricted under section 3 of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in consultation with the department of commerce and the utilities and transportation commission, must complete a study addressing how to increase the use of refrigerants with a low global warming potential in mobile sources, utility equipment, and consumer appliances, and how to reduce other uses of hydrofluorocarbons in Washington. The report must be submitted to the legislature consistent with RCW 43.01.036 by December 1, 2020, and must include recommendations for how to fund, structure, and prioritize a state program that incentivizes or provides grants to support the elimination of legacy uses of hydrofluorocarbons regulated under section 3 of this act or uses of hydrofluorocarbons not covered by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section 3 of this act;</w:t>
      </w:r>
    </w:p>
    <w:p>
      <w:pPr>
        <w:spacing w:before="0" w:after="0" w:line="408" w:lineRule="exact"/>
        <w:ind w:left="0" w:right="0" w:firstLine="576"/>
        <w:jc w:val="left"/>
      </w:pPr>
      <w:r>
        <w:rPr/>
        <w:t xml:space="preserve">(b) Do not contain hydrofluorocarbons;</w:t>
      </w:r>
    </w:p>
    <w:p>
      <w:pPr>
        <w:spacing w:before="0" w:after="0" w:line="408" w:lineRule="exact"/>
        <w:ind w:left="0" w:right="0" w:firstLine="576"/>
        <w:jc w:val="left"/>
      </w:pPr>
      <w:r>
        <w:rPr/>
        <w:t xml:space="preserve">(c) Are not designed to function only in conjunction with hydrofluorocarbons; and</w:t>
      </w:r>
    </w:p>
    <w:p>
      <w:pPr>
        <w:spacing w:before="0" w:after="0" w:line="408" w:lineRule="exact"/>
        <w:ind w:left="0" w:right="0" w:firstLine="576"/>
        <w:jc w:val="left"/>
      </w:pPr>
      <w:r>
        <w:rPr/>
        <w:t xml:space="preserve">(d) Were not manufactured using hydrofluorocarbons.</w:t>
      </w:r>
    </w:p>
    <w:p>
      <w:pPr>
        <w:spacing w:before="0" w:after="0" w:line="408" w:lineRule="exact"/>
        <w:ind w:left="0" w:right="0" w:firstLine="576"/>
        <w:jc w:val="left"/>
      </w:pPr>
      <w:r>
        <w:rPr/>
        <w:t xml:space="preserve">(2) No agency may knowingly purchase products identified in subsection (1) of this section unless there is no cost-effective and technologically feasible alternative. When all available products contain hydrofluorocarbons, are designed to function in conjunction with hydrofluorocarbons, or were manufactured using hydrofluorocarbons, a preference must be given to alternative products that use or are likely to be associated with the release of the lowest amount of or comparatively lower amounts of hydrofluorocarbons.</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By December 1, 2020, and each December 1st of even 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cf9cb87286d47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a4b0da88774a2c" /><Relationship Type="http://schemas.openxmlformats.org/officeDocument/2006/relationships/footer" Target="/word/footer1.xml" Id="Rdcf9cb87286d476a" /></Relationships>
</file>