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ce056328f3484f" /></Relationships>
</file>

<file path=word/document.xml><?xml version="1.0" encoding="utf-8"?>
<w:document xmlns:w="http://schemas.openxmlformats.org/wordprocessingml/2006/main">
  <w:body>
    <w:p>
      <w:r>
        <w:t>S-1128.1</w:t>
      </w:r>
    </w:p>
    <w:p>
      <w:pPr>
        <w:jc w:val="center"/>
      </w:pPr>
      <w:r>
        <w:t>_______________________________________________</w:t>
      </w:r>
    </w:p>
    <w:p/>
    <w:p>
      <w:pPr>
        <w:jc w:val="center"/>
      </w:pPr>
      <w:r>
        <w:rPr>
          <w:b/>
        </w:rPr>
        <w:t>SUBSTITUTE SENATE BILL 5426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Mullet, Palumbo, Rivers, Nguyen, Dhingra, and Rolfes)</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greenhouse gas emissions from hydrofluorocarbons; amending RCW 70.235.010, 70.94.430, 70.94.431, and 70.94.015; adding a new section to chapter 70.235 RCW; adding a new section to chapter 19.27 RCW; adding a new section to chapter 39.26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hydrofluorocarbons are air pollutants that pose significant threats to our environment and that safer alternatives for the most damaging hydrofluorocarbons are readily available and cost-effective.</w:t>
      </w:r>
    </w:p>
    <w:p>
      <w:pPr>
        <w:spacing w:before="0" w:after="0" w:line="408" w:lineRule="exact"/>
        <w:ind w:left="0" w:right="0" w:firstLine="576"/>
        <w:jc w:val="left"/>
      </w:pPr>
      <w:r>
        <w:rPr/>
        <w:t xml:space="preserve">(2) Hydrofluorocarbons came into widespread commercial use as United States environmental protection agency-approved replacements for ozone-depleting substances that were being phased out under an international agreement. However, under a 2017 federal appeals court ruling, while the environmental protection agency had been given the power to originally designate hydrofluorocarbons as suitable replacements for the ozone-depleting substances, the environmental protection agency did not have clear authority to require the replacement of hydrofluorocarbons once the replacement of the original ozone-depleting substances had already occurred.</w:t>
      </w:r>
    </w:p>
    <w:p>
      <w:pPr>
        <w:spacing w:before="0" w:after="0" w:line="408" w:lineRule="exact"/>
        <w:ind w:left="0" w:right="0" w:firstLine="576"/>
        <w:jc w:val="left"/>
      </w:pPr>
      <w:r>
        <w:rPr/>
        <w:t xml:space="preserve">(3) Because the impacts of climate change will not wait until congress acts to clarify the scope of the environmental protection agency's authority, it falls to the states to provide leadership on addressing hydrofluorocarbons. Doing so will not only help the climate, but will help American businesses retain their positions as global leaders in air conditioning and refrigerant technologies. Although hydrofluorocarbons currently represent a small proportion of the state's greenhouse gas emissions, emissions of hydrofluorocarbons have been rapidly increasing in the United States and worldwide, and they are thousands of times more potent than carbon dioxide. However, hydrofluorocarbons are also a segment of the state's emissions that will be comparatively easy to reduce and eliminate without widespread implications for the way that power is produced, heavy industries operate, or people transport themselves. Substituting or reducing the use of hydrofluorocarbons with the highest global warming potential will provide a significant boost to the state's efforts to reduce its greenhouse gas emissions to the limits established in RCW 70.235.020.</w:t>
      </w:r>
    </w:p>
    <w:p>
      <w:pPr>
        <w:spacing w:before="0" w:after="0" w:line="408" w:lineRule="exact"/>
        <w:ind w:left="0" w:right="0" w:firstLine="576"/>
        <w:jc w:val="left"/>
      </w:pPr>
      <w:r>
        <w:rPr/>
        <w:t xml:space="preserve">(4) Therefore, it is the intent of the legislature to transition to the use of less damaging hydrofluorocarbons or suitable substitutes in various applications in Washington, in a manner similar to the regulations that were adopted by the environmental protection agency, and that have been subsequently adopted or will be adopted in several other states around the country.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010</w:t>
      </w:r>
      <w:r>
        <w:rPr/>
        <w:t xml:space="preserve"> and 2010 c 146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(2) "Climate advisory team" means the stakeholder group formed in response to executive order 07-02.</w:t>
      </w:r>
    </w:p>
    <w:p>
      <w:pPr>
        <w:spacing w:before="0" w:after="0" w:line="408" w:lineRule="exact"/>
        <w:ind w:left="0" w:right="0" w:firstLine="576"/>
        <w:jc w:val="left"/>
      </w:pPr>
      <w:r>
        <w:rPr/>
        <w:t xml:space="preserve">(3) "Climate impacts group" means the University of Washington's climate impacts group.</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w:t>
      </w:r>
    </w:p>
    <w:p>
      <w:pPr>
        <w:spacing w:before="0" w:after="0" w:line="408" w:lineRule="exact"/>
        <w:ind w:left="0" w:right="0" w:firstLine="576"/>
        <w:jc w:val="left"/>
      </w:pPr>
      <w:r>
        <w:rPr/>
        <w:t xml:space="preserve">(6) "Greenhouse gas" and "greenhouse gases" includes carbon dioxide, methane, nitrous oxide, hydrofluorocarbons, perfluorocarbons, sulfur hexafluoride, and any other gas or gases designated by the department by rule.</w:t>
      </w:r>
    </w:p>
    <w:p>
      <w:pPr>
        <w:spacing w:before="0" w:after="0" w:line="408" w:lineRule="exact"/>
        <w:ind w:left="0" w:right="0" w:firstLine="576"/>
        <w:jc w:val="left"/>
      </w:pPr>
      <w:r>
        <w:rPr/>
        <w:t xml:space="preserve">(7) "Person" means an individual, partnership, franchise holder, association, corporation, a state, a city, a county, or any subdivision or instrumentality of the state.</w:t>
      </w:r>
    </w:p>
    <w:p>
      <w:pPr>
        <w:spacing w:before="0" w:after="0" w:line="408" w:lineRule="exact"/>
        <w:ind w:left="0" w:right="0" w:firstLine="576"/>
        <w:jc w:val="left"/>
      </w:pPr>
      <w:r>
        <w:rPr/>
        <w:t xml:space="preserve">(8) "Program" means the department's climate change program.</w:t>
      </w:r>
    </w:p>
    <w:p>
      <w:pPr>
        <w:spacing w:before="0" w:after="0" w:line="408" w:lineRule="exact"/>
        <w:ind w:left="0" w:right="0" w:firstLine="576"/>
        <w:jc w:val="left"/>
      </w:pPr>
      <w:r>
        <w:rPr/>
        <w:t xml:space="preserve">(9) "Western climate initiative" means the collaboration of states, Canadian provinces, Mexican states, and tribes to design a multisector market-based mechanism as directed under the western regional climate action initiative signed by the governor on February 22, 2007.</w:t>
      </w:r>
    </w:p>
    <w:p>
      <w:pPr>
        <w:spacing w:before="0" w:after="0" w:line="408" w:lineRule="exact"/>
        <w:ind w:left="0" w:right="0" w:firstLine="576"/>
        <w:jc w:val="left"/>
      </w:pPr>
      <w:r>
        <w:rPr>
          <w:u w:val="single"/>
        </w:rPr>
        <w:t xml:space="preserve">(10) "Class I substance" and "class II substance" means those substances listed in 42 U.S.C. Sec. 7671a, as it read on November 15, 1990, or those substances listed in Appendix A or B of Subpart A of 40 C.F.R. Part 82, as those read on January 3, 2017.</w:t>
      </w:r>
    </w:p>
    <w:p>
      <w:pPr>
        <w:spacing w:before="0" w:after="0" w:line="408" w:lineRule="exact"/>
        <w:ind w:left="0" w:right="0" w:firstLine="576"/>
        <w:jc w:val="left"/>
      </w:pPr>
      <w:r>
        <w:rPr>
          <w:u w:val="single"/>
        </w:rPr>
        <w:t xml:space="preserve">(11) "Hydrofluorocarbons" means a class of greenhouse gases that are saturated organic compounds containing hydrogen, fluorine, and carbon.</w:t>
      </w:r>
    </w:p>
    <w:p>
      <w:pPr>
        <w:spacing w:before="0" w:after="0" w:line="408" w:lineRule="exact"/>
        <w:ind w:left="0" w:right="0" w:firstLine="576"/>
        <w:jc w:val="left"/>
      </w:pPr>
      <w:r>
        <w:rPr>
          <w:u w:val="single"/>
        </w:rPr>
        <w:t xml:space="preserve">(12) "Manufacturer" includes any person, firm, association, partnership, corporation, governmental entity, organization, or joint venture that produces any product that contains or uses hydrofluorocarbons or is an importer or domestic distributor of such a product.</w:t>
      </w:r>
    </w:p>
    <w:p>
      <w:pPr>
        <w:spacing w:before="0" w:after="0" w:line="408" w:lineRule="exact"/>
        <w:ind w:left="0" w:right="0" w:firstLine="576"/>
        <w:jc w:val="left"/>
      </w:pPr>
      <w:r>
        <w:rPr>
          <w:u w:val="single"/>
        </w:rPr>
        <w:t xml:space="preserve">(13) "Residential consumer refrigeration products" has the same meaning as defined in section 430.2 of Subpart A of 10 C.F.R. Part 430 (2017).</w:t>
      </w:r>
    </w:p>
    <w:p>
      <w:pPr>
        <w:spacing w:before="0" w:after="0" w:line="408" w:lineRule="exact"/>
        <w:ind w:left="0" w:right="0" w:firstLine="576"/>
        <w:jc w:val="left"/>
      </w:pPr>
      <w:r>
        <w:rPr>
          <w:u w:val="single"/>
        </w:rPr>
        <w:t xml:space="preserve">(14) "Substitute" means a chemical, product substitute, or alternative manufacturing process, whether existing or new, that is used to perform a function previously performed by a class I substance or class II substance and any substitute subsequently adopted to perform that function, including, but not limited to, hydrofluorocarbons. "Substitute" does not include 2-BTP or any compound as applied to its use in aerospace fire extinguishing systems.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A person may not offer any product or equipment for sale, lease, or rent, or install or otherwise cause any equipment or product to enter into commerce in Washington if that equipment or product consists of, uses, or will use a substitute, as set forth in appendix U and V, Subpart G of 40 C.F.R. Part 82, as those read on January 3, 2017, for the applications or end uses restricted by appendix U or V of the federal regulation, as those read on January 3, 2017, consistent with the deadlines established in subsection (2) of this section. Nothing in this subsection requires a person that acquired a restricted product or equipment prior to the effective date of the restrictions in subsection (2) of this section to cease use of that product or equipment. Products or equipment manufactured prior to the applicable effective date of the restrictions specified in subsection (2) of this section may be sold, imported, exported, distributed, installed, and used after the specified effective date.</w:t>
      </w:r>
    </w:p>
    <w:p>
      <w:pPr>
        <w:spacing w:before="0" w:after="0" w:line="408" w:lineRule="exact"/>
        <w:ind w:left="0" w:right="0" w:firstLine="576"/>
        <w:jc w:val="left"/>
      </w:pPr>
      <w:r>
        <w:rPr/>
        <w:t xml:space="preserve">(2) The restrictions under subsection (1) of this section for the following products and equipment identified in appendix U and V, Subpart G of 40 C.F.R. Part 82, as those read on January 3, 2017, take effect beginning:</w:t>
      </w:r>
    </w:p>
    <w:p>
      <w:pPr>
        <w:spacing w:before="0" w:after="0" w:line="408" w:lineRule="exact"/>
        <w:ind w:left="0" w:right="0" w:firstLine="576"/>
        <w:jc w:val="left"/>
      </w:pPr>
      <w:r>
        <w:rPr/>
        <w:t xml:space="preserve">(a) January 1, 2020, for:</w:t>
      </w:r>
    </w:p>
    <w:p>
      <w:pPr>
        <w:spacing w:before="0" w:after="0" w:line="408" w:lineRule="exact"/>
        <w:ind w:left="0" w:right="0" w:firstLine="576"/>
        <w:jc w:val="left"/>
      </w:pPr>
      <w:r>
        <w:rPr/>
        <w:t xml:space="preserve">(i) Propellants;</w:t>
      </w:r>
    </w:p>
    <w:p>
      <w:pPr>
        <w:spacing w:before="0" w:after="0" w:line="408" w:lineRule="exact"/>
        <w:ind w:left="0" w:right="0" w:firstLine="576"/>
        <w:jc w:val="left"/>
      </w:pPr>
      <w:r>
        <w:rPr/>
        <w:t xml:space="preserve">(ii) Rigid polyurethane applications and spray foam, flexible polyurethane, integral skin polyurethane, flexible polyurethane foam, polystyrene extruded sheet, polyolefin, phenolic insulation board, and bunstock;</w:t>
      </w:r>
    </w:p>
    <w:p>
      <w:pPr>
        <w:spacing w:before="0" w:after="0" w:line="408" w:lineRule="exact"/>
        <w:ind w:left="0" w:right="0" w:firstLine="576"/>
        <w:jc w:val="left"/>
      </w:pPr>
      <w:r>
        <w:rPr/>
        <w:t xml:space="preserve">(iii) Supermarket systems, remote condensing units, stand-alone units, and vending machines;</w:t>
      </w:r>
    </w:p>
    <w:p>
      <w:pPr>
        <w:spacing w:before="0" w:after="0" w:line="408" w:lineRule="exact"/>
        <w:ind w:left="0" w:right="0" w:firstLine="576"/>
        <w:jc w:val="left"/>
      </w:pPr>
      <w:r>
        <w:rPr/>
        <w:t xml:space="preserve">(b) January 1, 2021, for:</w:t>
      </w:r>
    </w:p>
    <w:p>
      <w:pPr>
        <w:spacing w:before="0" w:after="0" w:line="408" w:lineRule="exact"/>
        <w:ind w:left="0" w:right="0" w:firstLine="576"/>
        <w:jc w:val="left"/>
      </w:pPr>
      <w:r>
        <w:rPr/>
        <w:t xml:space="preserve">(i) Refrigerated food processing and dispensing equipment;</w:t>
      </w:r>
    </w:p>
    <w:p>
      <w:pPr>
        <w:spacing w:before="0" w:after="0" w:line="408" w:lineRule="exact"/>
        <w:ind w:left="0" w:right="0" w:firstLine="576"/>
        <w:jc w:val="left"/>
      </w:pPr>
      <w:r>
        <w:rPr/>
        <w:t xml:space="preserve">(ii) Compact residential consumer refrigeration products;</w:t>
      </w:r>
    </w:p>
    <w:p>
      <w:pPr>
        <w:spacing w:before="0" w:after="0" w:line="408" w:lineRule="exact"/>
        <w:ind w:left="0" w:right="0" w:firstLine="576"/>
        <w:jc w:val="left"/>
      </w:pPr>
      <w:r>
        <w:rPr/>
        <w:t xml:space="preserve">(iii) Polystyrene extruded boardstock and billet, and rigid polyurethane low-pressure two component spray foam;</w:t>
      </w:r>
    </w:p>
    <w:p>
      <w:pPr>
        <w:spacing w:before="0" w:after="0" w:line="408" w:lineRule="exact"/>
        <w:ind w:left="0" w:right="0" w:firstLine="576"/>
        <w:jc w:val="left"/>
      </w:pPr>
      <w:r>
        <w:rPr/>
        <w:t xml:space="preserve">(c) January 1, 2022, for residential consumer refrigeration products other than compact and built-in residential consumer refrigeration products;</w:t>
      </w:r>
    </w:p>
    <w:p>
      <w:pPr>
        <w:spacing w:before="0" w:after="0" w:line="408" w:lineRule="exact"/>
        <w:ind w:left="0" w:right="0" w:firstLine="576"/>
        <w:jc w:val="left"/>
      </w:pPr>
      <w:r>
        <w:rPr/>
        <w:t xml:space="preserve">(d) January 1, 2023, for cold storage warehouses;</w:t>
      </w:r>
    </w:p>
    <w:p>
      <w:pPr>
        <w:spacing w:before="0" w:after="0" w:line="408" w:lineRule="exact"/>
        <w:ind w:left="0" w:right="0" w:firstLine="576"/>
        <w:jc w:val="left"/>
      </w:pPr>
      <w:r>
        <w:rPr/>
        <w:t xml:space="preserve">(e) January 1, 2023, for built-in residential consumer refrigeration products;</w:t>
      </w:r>
    </w:p>
    <w:p>
      <w:pPr>
        <w:spacing w:before="0" w:after="0" w:line="408" w:lineRule="exact"/>
        <w:ind w:left="0" w:right="0" w:firstLine="576"/>
        <w:jc w:val="left"/>
      </w:pPr>
      <w:r>
        <w:rPr/>
        <w:t xml:space="preserve">(f) January 1, 2024, for centrifugal chillers and positive displacement chillers; and</w:t>
      </w:r>
    </w:p>
    <w:p>
      <w:pPr>
        <w:spacing w:before="0" w:after="0" w:line="408" w:lineRule="exact"/>
        <w:ind w:left="0" w:right="0" w:firstLine="576"/>
        <w:jc w:val="left"/>
      </w:pPr>
      <w:r>
        <w:rPr/>
        <w:t xml:space="preserve">(g) On either January 1, 2020, or the effective date of the restrictions identified in appendix U and V, Subpart G of 40 C.F.R. Part 82, as those read on January 3, 2017, whichever comes later, for all other applications and end uses for substitutes not covered by the categories listed in (a) through (f) of this subsection.</w:t>
      </w:r>
    </w:p>
    <w:p>
      <w:pPr>
        <w:spacing w:before="0" w:after="0" w:line="408" w:lineRule="exact"/>
        <w:ind w:left="0" w:right="0" w:firstLine="576"/>
        <w:jc w:val="left"/>
      </w:pPr>
      <w:r>
        <w:rPr/>
        <w:t xml:space="preserve">(3) The department may by rule:</w:t>
      </w:r>
    </w:p>
    <w:p>
      <w:pPr>
        <w:spacing w:before="0" w:after="0" w:line="408" w:lineRule="exact"/>
        <w:ind w:left="0" w:right="0" w:firstLine="576"/>
        <w:jc w:val="left"/>
      </w:pPr>
      <w:r>
        <w:rPr/>
        <w:t xml:space="preserve">(a) Modify the effective date of a prohibition established in subsection (2) of this section if the department determines that the rule reduces the overall risk to human health or the environment and reflects the earliest date that a substitute is currently or potentially available;</w:t>
      </w:r>
    </w:p>
    <w:p>
      <w:pPr>
        <w:spacing w:before="0" w:after="0" w:line="408" w:lineRule="exact"/>
        <w:ind w:left="0" w:right="0" w:firstLine="576"/>
        <w:jc w:val="left"/>
      </w:pPr>
      <w:r>
        <w:rPr/>
        <w:t xml:space="preserve">(b) Prohibit the use of a substitute if the department determines that the prohibition reduces the overall risk to human health or the environment and that a lower risk substitute is currently or potentially available;</w:t>
      </w:r>
    </w:p>
    <w:p>
      <w:pPr>
        <w:spacing w:before="0" w:after="0" w:line="408" w:lineRule="exact"/>
        <w:ind w:left="0" w:right="0" w:firstLine="576"/>
        <w:jc w:val="left"/>
      </w:pPr>
      <w:r>
        <w:rPr/>
        <w:t xml:space="preserve">(c)(i) Adopt a list of approved substitutes, use conditions, or use limits, if any; and</w:t>
      </w:r>
    </w:p>
    <w:p>
      <w:pPr>
        <w:spacing w:before="0" w:after="0" w:line="408" w:lineRule="exact"/>
        <w:ind w:left="0" w:right="0" w:firstLine="576"/>
        <w:jc w:val="left"/>
      </w:pPr>
      <w:r>
        <w:rPr/>
        <w:t xml:space="preserve">(ii) Add or remove substitutes, use conditions, or use limits to or from the list of approved substitutes if the department determines those substitutes reduce the overall risk to human health and the environment; and</w:t>
      </w:r>
    </w:p>
    <w:p>
      <w:pPr>
        <w:spacing w:before="0" w:after="0" w:line="408" w:lineRule="exact"/>
        <w:ind w:left="0" w:right="0" w:firstLine="576"/>
        <w:jc w:val="left"/>
      </w:pPr>
      <w:r>
        <w:rPr/>
        <w:t xml:space="preserve">(d) Designate acceptable uses of hydrofluorocarbons for medical uses that are exempt from the requirements of subsection (2) of this section.</w:t>
      </w:r>
    </w:p>
    <w:p>
      <w:pPr>
        <w:spacing w:before="0" w:after="0" w:line="408" w:lineRule="exact"/>
        <w:ind w:left="0" w:right="0" w:firstLine="576"/>
        <w:jc w:val="left"/>
      </w:pPr>
      <w:r>
        <w:rPr/>
        <w:t xml:space="preserve">(4) Within twelve months of another state's enactment or adoption of restrictions on substitutes applicable to new light duty vehicles, the department must adopt restrictions applicable to the sale, lease, rental, or other introduction into commerce by a manufacturer of new light duty vehicles consistent with the restrictions identified in appendix B, Subpart G of 40 C.F.R. Part 82, as it read on January 3, 2017. The department may not adopt restrictions that take effect prior to the effective date of restrictions adopted or enacted in at least one other state.</w:t>
      </w:r>
    </w:p>
    <w:p>
      <w:pPr>
        <w:spacing w:before="0" w:after="0" w:line="408" w:lineRule="exact"/>
        <w:ind w:left="0" w:right="0" w:firstLine="576"/>
        <w:jc w:val="left"/>
      </w:pPr>
      <w:r>
        <w:rPr/>
        <w:t xml:space="preserve">(5) A manufacturer must disclose the substitutes used in its products or equipment. That disclosure must take the form of:</w:t>
      </w:r>
    </w:p>
    <w:p>
      <w:pPr>
        <w:spacing w:before="0" w:after="0" w:line="408" w:lineRule="exact"/>
        <w:ind w:left="0" w:right="0" w:firstLine="576"/>
        <w:jc w:val="left"/>
      </w:pPr>
      <w:r>
        <w:rPr/>
        <w:t xml:space="preserve">(a) A label on the equipment or product. The label must meet requirements designated by the department by rule. To the extent feasible, the department must recognize existing labeling that provides sufficient disclosure of the use of substitutes in the product or equipment. The department may not require labeling of aircraft and aircraft components subject to certification requirements of the federal aviation administration.</w:t>
      </w:r>
    </w:p>
    <w:p>
      <w:pPr>
        <w:spacing w:before="0" w:after="0" w:line="408" w:lineRule="exact"/>
        <w:ind w:left="0" w:right="0" w:firstLine="576"/>
        <w:jc w:val="left"/>
      </w:pPr>
      <w:r>
        <w:rPr/>
        <w:t xml:space="preserve">(b) Submitting information about the use of substitutes to the department, upon request. Beginning December 31, 2019, and annually thereafter, all manufacturers must notify the department of the types of products and equipment containing hydrofluorocarbons the manufacturer sells, offers for sale, leases, installs, or rents in Washington state. Such a notice must identify each product or piece of equipment and must identify the individual substitutes used in each product or piece of equipment.</w:t>
      </w:r>
    </w:p>
    <w:p>
      <w:pPr>
        <w:spacing w:before="0" w:after="0" w:line="408" w:lineRule="exact"/>
        <w:ind w:left="0" w:right="0" w:firstLine="576"/>
        <w:jc w:val="left"/>
      </w:pPr>
      <w:r>
        <w:rPr/>
        <w:t xml:space="preserve">(6) The department may adopt rules to administer, implement, and enforce this section. If the department elects to adopt rules, the department must seek, where feasible and appropriate, to adopt rules, including rules under subsection (4) of this section, that are the same or consistent with the regulatory standards, exemptions, reporting obligations, disclosure requirements, and other compliance requirements of other states or the federal government that have adopted restrictions on the use of hydrofluorocarbons and other substitutes. Prior to the adoption or update of a rule under this section, the department must identify the sources of information it relied upon, including peer-reviewed science.</w:t>
      </w:r>
    </w:p>
    <w:p>
      <w:pPr>
        <w:spacing w:before="0" w:after="0" w:line="408" w:lineRule="exact"/>
        <w:ind w:left="0" w:right="0" w:firstLine="576"/>
        <w:jc w:val="left"/>
      </w:pPr>
      <w:r>
        <w:rPr/>
        <w:t xml:space="preserve">(7) For the purposes of implementing the restrictions specified in appendix U of Subpart G of 40 C.F.R. Part 82, as it read on January 3, 2017, consistent with this section, the department must interpret the term "aircraft maintenance" to mean activities to support the production, fabrication, manufacture, rework, inspection, maintenance, overhaul, or repair of commercial, civil, or military aircraft, aircraft parts, aerospace vehicles, or aerospace components.</w:t>
      </w:r>
    </w:p>
    <w:p>
      <w:pPr>
        <w:spacing w:before="0" w:after="0" w:line="408" w:lineRule="exact"/>
        <w:ind w:left="0" w:right="0" w:firstLine="576"/>
        <w:jc w:val="left"/>
      </w:pPr>
      <w:r>
        <w:rPr/>
        <w:t xml:space="preserve">(8) The authority granted by this section to the department for restricting the use of substitutes is supplementary to the department's authority to control air pollution pursuant to chapter 70.94 RCW. Nothing in this section limits the authority of the department under chapter 70.94 RCW.</w:t>
      </w:r>
    </w:p>
    <w:p>
      <w:pPr>
        <w:spacing w:before="0" w:after="0" w:line="408" w:lineRule="exact"/>
        <w:ind w:left="0" w:right="0" w:firstLine="576"/>
        <w:jc w:val="left"/>
      </w:pPr>
      <w:r>
        <w:rPr/>
        <w:t xml:space="preserve">(9) The restrictions of this section do not apply to or limit any use of commercial refrigeration equipment that was installed or in use prior to the effective date of the restrictions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430</w:t>
      </w:r>
      <w:r>
        <w:rPr/>
        <w:t xml:space="preserve"> and 2011 c 96 s 49 are each amended to read as follows:</w:t>
      </w:r>
    </w:p>
    <w:p>
      <w:pPr>
        <w:spacing w:before="0" w:after="0" w:line="408" w:lineRule="exact"/>
        <w:ind w:left="0" w:right="0" w:firstLine="576"/>
        <w:jc w:val="left"/>
      </w:pPr>
      <w:r>
        <w:rPr/>
        <w:t xml:space="preserve">(1) Any person who knowingly violates any of the provisions of chapter 70.94 or 70.120 RCW, </w:t>
      </w:r>
      <w:r>
        <w:rPr>
          <w:u w:val="single"/>
        </w:rPr>
        <w:t xml:space="preserve">section 3 of this act,</w:t>
      </w:r>
      <w:r>
        <w:rPr/>
        <w:t xml:space="preserve"> or any ordinance, resolution, or regulation in force pursuant thereto is guilty of a gross misdemeanor and upon conviction thereof shall be punished by a fine of not more than ten thousand dollars, or by imprisonment in the county jail for up to three hundred sixty-four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ten thousand dollars, or by imprisonment for up to three hundred sixty-four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fifty thousand dollars,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70.94.100 is guilty of a gross misdemeanor, and upon conviction thereof shall be punished by a fine of not more than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431</w:t>
      </w:r>
      <w:r>
        <w:rPr/>
        <w:t xml:space="preserve"> and 2013 c 51 s 6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RCW 43.05.060 through 43.05.080 and 43.05.150, and in addition to or as an alternate to any other penalty provided by law, any person who violates any of the provisions of this chapter, chapter 70.120 </w:t>
      </w:r>
      <w:r>
        <w:t>((</w:t>
      </w:r>
      <w:r>
        <w:rPr>
          <w:strike/>
        </w:rPr>
        <w:t xml:space="preserve">RCW, chapter</w:t>
      </w:r>
      <w:r>
        <w:t>))</w:t>
      </w:r>
      <w:r>
        <w:rPr/>
        <w:t xml:space="preserve"> </w:t>
      </w:r>
      <w:r>
        <w:rPr>
          <w:u w:val="single"/>
        </w:rPr>
        <w:t xml:space="preserve">or</w:t>
      </w:r>
      <w:r>
        <w:rPr/>
        <w:t xml:space="preserve"> 70.310 RCW, </w:t>
      </w:r>
      <w:r>
        <w:rPr>
          <w:u w:val="single"/>
        </w:rPr>
        <w:t xml:space="preserve">section 3 of this act,</w:t>
      </w:r>
      <w:r>
        <w:rPr/>
        <w:t xml:space="preserve"> or any of the rules in force under such chapters </w:t>
      </w:r>
      <w:r>
        <w:rPr>
          <w:u w:val="single"/>
        </w:rPr>
        <w:t xml:space="preserve">or section</w:t>
      </w:r>
      <w:r>
        <w:rPr/>
        <w:t xml:space="preserve">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u w:val="single"/>
        </w:rPr>
        <w:t xml:space="preserve">(b)</w:t>
      </w:r>
      <w:r>
        <w:rPr/>
        <w:t xml:space="preserve">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w:t>
      </w:r>
      <w:r>
        <w:rPr>
          <w:u w:val="single"/>
        </w:rPr>
        <w:t xml:space="preserve">(a)</w:t>
      </w:r>
      <w:r>
        <w:rPr/>
        <w:t xml:space="preserve">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u w:val="single"/>
        </w:rPr>
        <w:t xml:space="preserve">(b)</w:t>
      </w:r>
      <w:r>
        <w:rPr/>
        <w:t xml:space="preserve">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All penalties recovered under this section by the department shall be paid into the state treasury and credited to the air pollution control account established in RCW 70.94.015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w:t>
      </w:r>
      <w:r>
        <w:t>((</w:t>
      </w:r>
      <w:r>
        <w:rPr>
          <w:strike/>
        </w:rPr>
        <w:t xml:space="preserve">By January 1, 1992,</w:t>
      </w:r>
      <w:r>
        <w:t>))</w:t>
      </w:r>
      <w:r>
        <w:rPr/>
        <w:t xml:space="preserve"> </w:t>
      </w:r>
      <w:r>
        <w:rPr>
          <w:u w:val="single"/>
        </w:rPr>
        <w:t xml:space="preserve">T</w:t>
      </w:r>
      <w:r>
        <w:rPr/>
        <w:t xml:space="preserve">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015</w:t>
      </w:r>
      <w:r>
        <w:rPr/>
        <w:t xml:space="preserve"> and 1998 c 321 s 33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70.94.151(2), and receipts from nonpermit program sources under RCW 70.94.152(1) and 70.94.154(7), and all receipts from RCW </w:t>
      </w:r>
      <w:r>
        <w:t>((</w:t>
      </w:r>
      <w:r>
        <w:rPr>
          <w:strike/>
        </w:rPr>
        <w:t xml:space="preserve">70.94.650, 70.94.660, 82.44.020(2), and 82.50.405</w:t>
      </w:r>
      <w:r>
        <w:t>))</w:t>
      </w:r>
      <w:r>
        <w:rPr/>
        <w:t xml:space="preserve"> </w:t>
      </w:r>
      <w:r>
        <w:rPr>
          <w:u w:val="single"/>
        </w:rPr>
        <w:t xml:space="preserve">70.94.6528 and 70.94.6534</w:t>
      </w:r>
      <w:r>
        <w:rPr/>
        <w:t xml:space="preserve"> shall be deposited into the account. Moneys in the account may be spent only after appropriation. Expenditures from the account may be used only to develop and implement the provisions of chapters 70.94 and 70.120 RCW </w:t>
      </w:r>
      <w:r>
        <w:rPr>
          <w:u w:val="single"/>
        </w:rPr>
        <w:t xml:space="preserve">and section 3 of this act</w:t>
      </w:r>
      <w:r>
        <w:rPr/>
        <w:t xml:space="preserve">.</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70.94.152(1), 70.94.161, 70.94.162, and 70.94.154(7) shall be deposited into the account. Expenditures from the account may be used only for the activities described in RCW 70.94.152(1), 70.94.161, 70.94.162, and 70.94.154(7).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building code council shall adopt rules that permit the use of substitutes approved under section 3 of this act and that do not require the use of substitutes that are restricted under section 3 of this act.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in consultation with the department of commerce and the utilities and transportation commission, must complete a report addressing how to increase the use of refrigerants with a low global warming potential in mobile sources, utility equipment, and consumer appliances, and how to reduce other uses of hydrofluorocarbons in Washington. The report must be submitted to the legislature consistent with RCW 43.01.036 by December 1, 2020, and must include recommendations for how to fund, structure, and prioritize a state program that incentivizes or provides grants to support the elimination of legacy uses of hydrofluorocarbons regulated under section 3 of this act or uses of hydrofluorocarbons not covered by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shall establish purchasing and procurement policies that provide a preference for products that:</w:t>
      </w:r>
    </w:p>
    <w:p>
      <w:pPr>
        <w:spacing w:before="0" w:after="0" w:line="408" w:lineRule="exact"/>
        <w:ind w:left="0" w:right="0" w:firstLine="576"/>
        <w:jc w:val="left"/>
      </w:pPr>
      <w:r>
        <w:rPr/>
        <w:t xml:space="preserve">(a) Are not restricted under section 3 of this act;</w:t>
      </w:r>
    </w:p>
    <w:p>
      <w:pPr>
        <w:spacing w:before="0" w:after="0" w:line="408" w:lineRule="exact"/>
        <w:ind w:left="0" w:right="0" w:firstLine="576"/>
        <w:jc w:val="left"/>
      </w:pPr>
      <w:r>
        <w:rPr/>
        <w:t xml:space="preserve">(b) Do not contain hydrofluorocarbons or contain hydrofluorocarbons with a comparatively low global warming potential;</w:t>
      </w:r>
    </w:p>
    <w:p>
      <w:pPr>
        <w:spacing w:before="0" w:after="0" w:line="408" w:lineRule="exact"/>
        <w:ind w:left="0" w:right="0" w:firstLine="576"/>
        <w:jc w:val="left"/>
      </w:pPr>
      <w:r>
        <w:rPr/>
        <w:t xml:space="preserve">(c) Are not designed to function only in conjunction with hydrofluorocarbons characterized by a comparatively high global warming potential; and</w:t>
      </w:r>
    </w:p>
    <w:p>
      <w:pPr>
        <w:spacing w:before="0" w:after="0" w:line="408" w:lineRule="exact"/>
        <w:ind w:left="0" w:right="0" w:firstLine="576"/>
        <w:jc w:val="left"/>
      </w:pPr>
      <w:r>
        <w:rPr/>
        <w:t xml:space="preserve">(d) Were not manufactured using hydrofluorocarbons or were manufactured using hydrofluorocarbons with a low global warming potential.</w:t>
      </w:r>
    </w:p>
    <w:p>
      <w:pPr>
        <w:spacing w:before="0" w:after="0" w:line="408" w:lineRule="exact"/>
        <w:ind w:left="0" w:right="0" w:firstLine="576"/>
        <w:jc w:val="left"/>
      </w:pPr>
      <w:r>
        <w:rPr/>
        <w:t xml:space="preserve">(2) No agency may knowingly purchase products that are not accorded a preference in the purchasing and procurement policies established by the department pursuant to subsection (1) of this section, unless there is no cost-effective and technologically feasible option that is accorded a preference.</w:t>
      </w:r>
    </w:p>
    <w:p>
      <w:pPr>
        <w:spacing w:before="0" w:after="0" w:line="408" w:lineRule="exact"/>
        <w:ind w:left="0" w:right="0" w:firstLine="576"/>
        <w:jc w:val="left"/>
      </w:pPr>
      <w:r>
        <w:rPr/>
        <w:t xml:space="preserve">(3) Nothing in this section requires the department or any other state agency to breach an existing contract or dispose of stock that has been ordered or is in the possession of the department or other state agency as of the effective date of this section.</w:t>
      </w:r>
    </w:p>
    <w:p>
      <w:pPr>
        <w:spacing w:before="0" w:after="0" w:line="408" w:lineRule="exact"/>
        <w:ind w:left="0" w:right="0" w:firstLine="576"/>
        <w:jc w:val="left"/>
      </w:pPr>
      <w:r>
        <w:rPr/>
        <w:t xml:space="preserve">(4) By December 1, 2020, and each December 1st of even numbered years thereafter, the department must submit a status report to the appropriate committees of the house of representatives and senate regarding the implementation and compliance of the department and state agencies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387df12a1d84a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47427c03da4e0d" /><Relationship Type="http://schemas.openxmlformats.org/officeDocument/2006/relationships/footer" Target="/word/footer1.xml" Id="R8387df12a1d84ac5" /></Relationships>
</file>