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9f7898a4174ba3" /></Relationships>
</file>

<file path=word/document.xml><?xml version="1.0" encoding="utf-8"?>
<w:document xmlns:w="http://schemas.openxmlformats.org/wordprocessingml/2006/main">
  <w:body>
    <w:p>
      <w:r>
        <w:t>Z-0306.1</w:t>
      </w:r>
    </w:p>
    <w:p>
      <w:pPr>
        <w:jc w:val="center"/>
      </w:pPr>
      <w:r>
        <w:t>_______________________________________________</w:t>
      </w:r>
    </w:p>
    <w:p/>
    <w:p>
      <w:pPr>
        <w:jc w:val="center"/>
      </w:pPr>
      <w:r>
        <w:rPr>
          <w:b/>
        </w:rPr>
        <w:t>SENATE BILL 5416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Walsh, Keiser, and Hasegawa; by request of Gambling Commission</w:t>
      </w:r>
    </w:p>
    <w:p/>
    <w:p>
      <w:r>
        <w:rPr>
          <w:t xml:space="preserve">Read first time 01/21/19.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addiction; and amending RCW 9.46.071 and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w:t>
      </w:r>
      <w:r>
        <w:t>((</w:t>
      </w:r>
      <w:r>
        <w:rPr>
          <w:strike/>
        </w:rPr>
        <w:t xml:space="preserve">are problem or pathological gamblers</w:t>
      </w:r>
      <w:r>
        <w:t>))</w:t>
      </w:r>
      <w:r>
        <w:rPr/>
        <w:t xml:space="preserve"> </w:t>
      </w:r>
      <w:r>
        <w:rPr>
          <w:u w:val="single"/>
        </w:rPr>
        <w:t xml:space="preserve">have a gambling problem or gambling disorder</w:t>
      </w:r>
      <w:r>
        <w:rPr/>
        <w:t xml:space="preserve">.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w:t>
      </w:r>
      <w:r>
        <w:rPr>
          <w:u w:val="single"/>
        </w:rPr>
        <w:t xml:space="preserve">gambling</w:t>
      </w:r>
      <w:r>
        <w:rPr/>
        <w:t xml:space="preserve"> and </w:t>
      </w:r>
      <w:r>
        <w:t>((</w:t>
      </w:r>
      <w:r>
        <w:rPr>
          <w:strike/>
        </w:rPr>
        <w:t xml:space="preserve">pathological gamblers</w:t>
      </w:r>
      <w:r>
        <w:t>))</w:t>
      </w:r>
      <w:r>
        <w:rPr/>
        <w:t xml:space="preserve"> </w:t>
      </w:r>
      <w:r>
        <w:rPr>
          <w:u w:val="single"/>
        </w:rPr>
        <w:t xml:space="preserve">gambling disorders</w:t>
      </w:r>
      <w:r>
        <w:rPr/>
        <w:t xml:space="preserve">. </w:t>
      </w:r>
      <w:r>
        <w:t>((</w:t>
      </w:r>
      <w:r>
        <w:rPr>
          <w:strike/>
        </w:rPr>
        <w:t xml:space="preserve">Therefore,</w:t>
      </w:r>
      <w:r>
        <w:t>))</w:t>
      </w:r>
    </w:p>
    <w:p>
      <w:pPr>
        <w:spacing w:before="0" w:after="0" w:line="408" w:lineRule="exact"/>
        <w:ind w:left="0" w:right="0" w:firstLine="576"/>
        <w:jc w:val="left"/>
      </w:pPr>
      <w:r>
        <w:rPr>
          <w:u w:val="single"/>
        </w:rPr>
        <w:t xml:space="preserve">(b) T</w:t>
      </w:r>
      <w:r>
        <w:rPr/>
        <w:t xml:space="preserve">he Washington state gambling commission, the Washington horse racing commission, and the state lottery commission shall jointly develop </w:t>
      </w:r>
      <w:r>
        <w:rPr>
          <w:u w:val="single"/>
        </w:rPr>
        <w:t xml:space="preserve">problem gambling and gambling disorder</w:t>
      </w:r>
      <w:r>
        <w:rPr/>
        <w:t xml:space="preserve"> informational signs </w:t>
      </w:r>
      <w:r>
        <w:t>((</w:t>
      </w:r>
      <w:r>
        <w:rPr>
          <w:strike/>
        </w:rPr>
        <w:t xml:space="preserve">concerning problem and pathological gambling</w:t>
      </w:r>
      <w:r>
        <w:t>))</w:t>
      </w:r>
      <w:r>
        <w:rPr/>
        <w:t xml:space="preserve"> which include a toll-free hotline number for </w:t>
      </w:r>
      <w:r>
        <w:rPr>
          <w:u w:val="single"/>
        </w:rPr>
        <w:t xml:space="preserve">individuals with a gambling</w:t>
      </w:r>
      <w:r>
        <w:rPr/>
        <w:t xml:space="preserve"> problem </w:t>
      </w:r>
      <w:r>
        <w:t>((</w:t>
      </w:r>
      <w:r>
        <w:rPr>
          <w:strike/>
        </w:rPr>
        <w:t xml:space="preserve">and pathological gamblers</w:t>
      </w:r>
      <w:r>
        <w:t>))</w:t>
      </w:r>
      <w:r>
        <w:rPr/>
        <w:t xml:space="preserve"> </w:t>
      </w:r>
      <w:r>
        <w:rPr>
          <w:u w:val="single"/>
        </w:rPr>
        <w:t xml:space="preserve">or gambling disorder</w:t>
      </w:r>
      <w:r>
        <w:rPr/>
        <w:t xml:space="preserve">. The signs shall be placed in the establishments of gambling licensees, horse racing licensees, and lottery retailers. </w:t>
      </w:r>
      <w:r>
        <w:t>((</w:t>
      </w:r>
      <w:r>
        <w:rPr>
          <w:strike/>
        </w:rPr>
        <w:t xml:space="preserve">In addition,</w:t>
      </w:r>
      <w:r>
        <w:t>))</w:t>
      </w:r>
    </w:p>
    <w:p>
      <w:pPr>
        <w:spacing w:before="0" w:after="0" w:line="408" w:lineRule="exact"/>
        <w:ind w:left="0" w:right="0" w:firstLine="576"/>
        <w:jc w:val="left"/>
      </w:pPr>
      <w:r>
        <w:rPr>
          <w:u w:val="single"/>
        </w:rPr>
        <w:t xml:space="preserve">(c) T</w:t>
      </w:r>
      <w:r>
        <w:rPr/>
        <w:t xml:space="preserve">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(d) Individuals and families impacted by a gambling problem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rPr>
          <w:u w:val="single"/>
        </w:rPr>
        <w:t xml:space="preserve">(i)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rPr>
          <w:u w:val="single"/>
        </w:rPr>
        <w:t xml:space="preserve">(ii)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rPr>
          <w:u w:val="single"/>
        </w:rPr>
        <w:t xml:space="preserve">(iii)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rPr>
          <w:u w:val="single"/>
        </w:rPr>
        <w:t xml:space="preserve">(iv) The commission must adopt rules establishing the self-exclusion program by June 30, 2021.</w:t>
      </w:r>
    </w:p>
    <w:p>
      <w:pPr>
        <w:spacing w:before="0" w:after="0" w:line="408" w:lineRule="exact"/>
        <w:ind w:left="0" w:right="0" w:firstLine="576"/>
        <w:jc w:val="left"/>
      </w:pPr>
      <w:r>
        <w:rPr>
          <w:u w:val="single"/>
        </w:rPr>
        <w:t xml:space="preserve">(e)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rPr>
          <w:u w:val="single"/>
        </w:rPr>
        <w:t xml:space="preserve">(f)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w:t>
      </w:r>
      <w:r>
        <w:rPr>
          <w:u w:val="single"/>
        </w:rPr>
        <w:t xml:space="preserve">gambling</w:t>
      </w:r>
      <w:r>
        <w:rPr/>
        <w:t xml:space="preserve"> and </w:t>
      </w:r>
      <w:r>
        <w:t>((</w:t>
      </w:r>
      <w:r>
        <w:rPr>
          <w:strike/>
        </w:rPr>
        <w:t xml:space="preserve">pathological</w:t>
      </w:r>
      <w:r>
        <w:t>))</w:t>
      </w:r>
      <w:r>
        <w:rPr/>
        <w:t xml:space="preserve"> gambling </w:t>
      </w:r>
      <w:r>
        <w:rPr>
          <w:u w:val="single"/>
        </w:rPr>
        <w:t xml:space="preserve">disorder</w:t>
      </w:r>
      <w:r>
        <w:rPr/>
        <w:t xml:space="preserve">.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w:t>
      </w:r>
      <w:r>
        <w:rPr>
          <w:u w:val="single"/>
        </w:rPr>
        <w:t xml:space="preserve">problem gambling and gambling disorder</w:t>
      </w:r>
      <w:r>
        <w:rPr/>
        <w:t xml:space="preserve"> treatment </w:t>
      </w:r>
      <w:r>
        <w:t>((</w:t>
      </w:r>
      <w:r>
        <w:rPr>
          <w:strike/>
        </w:rPr>
        <w:t xml:space="preserve">of problem and pathological gambling</w:t>
      </w:r>
      <w:r>
        <w:t>))</w:t>
      </w:r>
      <w:r>
        <w:rPr/>
        <w:t xml:space="preserve">;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w:t>
      </w:r>
      <w:r>
        <w:rPr>
          <w:u w:val="single"/>
        </w:rPr>
        <w:t xml:space="preserve">problem gambling and gambling disorder</w:t>
      </w:r>
      <w:r>
        <w:rPr/>
        <w:t xml:space="preserve"> services authorized in this section </w:t>
      </w:r>
      <w:r>
        <w:t>((</w:t>
      </w:r>
      <w:r>
        <w:rPr>
          <w:strike/>
        </w:rPr>
        <w:t xml:space="preserve">for problem and pathological gamblers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for people with a gambling problem or gambling disorder</w:t>
      </w:r>
      <w:r>
        <w:rPr/>
        <w:t xml:space="preserve">.</w:t>
      </w:r>
    </w:p>
    <w:p/>
    <w:p>
      <w:pPr>
        <w:jc w:val="center"/>
      </w:pPr>
      <w:r>
        <w:rPr>
          <w:b/>
        </w:rPr>
        <w:t>--- END ---</w:t>
      </w:r>
    </w:p>
    <w:sectPr>
      <w:pgNumType w:start="1"/>
      <w:footerReference xmlns:r="http://schemas.openxmlformats.org/officeDocument/2006/relationships" r:id="Re1b9e608ab6b49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a353201f248d2" /><Relationship Type="http://schemas.openxmlformats.org/officeDocument/2006/relationships/footer" Target="/word/footer1.xml" Id="Re1b9e608ab6b49d3" /></Relationships>
</file>