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d36e5141f479b" /></Relationships>
</file>

<file path=word/document.xml><?xml version="1.0" encoding="utf-8"?>
<w:document xmlns:w="http://schemas.openxmlformats.org/wordprocessingml/2006/main">
  <w:body>
    <w:p>
      <w:r>
        <w:t>S-1446.2</w:t>
      </w:r>
    </w:p>
    <w:p>
      <w:pPr>
        <w:jc w:val="center"/>
      </w:pPr>
      <w:r>
        <w:t>_______________________________________________</w:t>
      </w:r>
    </w:p>
    <w:p/>
    <w:p>
      <w:pPr>
        <w:jc w:val="center"/>
      </w:pPr>
      <w:r>
        <w:rPr>
          <w:b/>
        </w:rPr>
        <w:t>SUBSTITUTE SENATE BILL 5383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Zeiger, Palumbo, Nguyen, Short, Van De Wege, Wilson, C., and Wilson, L.)</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tiny houses; amending RCW 58.17.040, 35.21.684, and 19.27.031; adding a new section to chapter 35.21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Tiny houses have become a trend across the nation to address the shortage of affordable housing. As tiny houses become more acceptable, the legislature finds that it is important to create space in the code for the regulation of tiny house siting. Individual cities and counties may allow tiny houses with wheels to be collected together as tiny house villages using the binding site plan method articulated in chapter 58.17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2004 c 239 s 1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w:t>
      </w:r>
      <w:r>
        <w:rPr>
          <w:u w:val="single"/>
        </w:rPr>
        <w:t xml:space="preserve">, tiny houses or tiny houses with wheels,</w:t>
      </w:r>
      <w:r>
        <w:rPr/>
        <w:t xml:space="preserve">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and</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This does not preclude a city or town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w:t>
      </w:r>
      <w:r>
        <w:rPr>
          <w:u w:val="single"/>
        </w:rPr>
        <w:t xml:space="preserve">or tiny house with wheels</w:t>
      </w:r>
      <w:r>
        <w:rPr/>
        <w:t xml:space="preserv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w:t>
      </w:r>
      <w:r>
        <w:rPr>
          <w:u w:val="single"/>
        </w:rPr>
        <w:t xml:space="preserve">or tiny house with wheels</w:t>
      </w:r>
      <w:r>
        <w:rPr/>
        <w:t xml:space="preserv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 </w:t>
      </w:r>
      <w:r>
        <w:rPr>
          <w:u w:val="single"/>
        </w:rPr>
        <w:t xml:space="preserve">including Appendix Q of the 2018 International Residential Code</w:t>
      </w:r>
      <w:r>
        <w:rPr/>
        <w:t xml:space="preserve">;</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Portions of the International Wildland Urban Interface Code, published by the International Code Council Inc., as set forth in RCW 19.27.560;</w:t>
      </w:r>
    </w:p>
    <w:p>
      <w:pPr>
        <w:spacing w:before="0" w:after="0" w:line="408" w:lineRule="exact"/>
        <w:ind w:left="0" w:right="0" w:firstLine="576"/>
        <w:jc w:val="left"/>
      </w:pPr>
      <w:r>
        <w:rPr/>
        <w:t xml:space="preserve">(5)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rPr/>
        <w:t xml:space="preserve">(6)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(7)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(4), and (5)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may adopt an ordinance to regulate the creation of tiny house communities.</w:t>
      </w:r>
    </w:p>
    <w:p>
      <w:pPr>
        <w:spacing w:before="0" w:after="0" w:line="408" w:lineRule="exact"/>
        <w:ind w:left="0" w:right="0" w:firstLine="576"/>
        <w:jc w:val="left"/>
      </w:pPr>
      <w:r>
        <w:rPr/>
        <w:t xml:space="preserve">(2) The owner of the land upon which the community is built shall make reasonable accommodation for utility hookups for the provision of water, power, and sewerage services and comply with all other duties in chapter 59.20 RCW.</w:t>
      </w:r>
    </w:p>
    <w:p>
      <w:pPr>
        <w:spacing w:before="0" w:after="0" w:line="408" w:lineRule="exact"/>
        <w:ind w:left="0" w:right="0" w:firstLine="576"/>
        <w:jc w:val="left"/>
      </w:pPr>
      <w:r>
        <w:rPr/>
        <w:t xml:space="preserve">(3) Tenants of tiny house communities are entitled to all rights and subject to all duties and penalties required under chapter 59.20 RCW.</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"Tiny house" means a dwelling to be used as permanent housing with permanent provisions for living, sleeping, eating, cooking, and sanitation built in accordance with the 2018 International Resident Code Appendix Q.</w:t>
      </w:r>
    </w:p>
    <w:p>
      <w:pPr>
        <w:spacing w:before="0" w:after="0" w:line="408" w:lineRule="exact"/>
        <w:ind w:left="0" w:right="0" w:firstLine="576"/>
        <w:jc w:val="left"/>
      </w:pPr>
      <w:r>
        <w:rPr/>
        <w:t xml:space="preserve">(b) "Tiny house communities" means real property rented or held out for rent to others for the placement of tiny houses with wheels or tiny houses utilizing the binding site plan process in RCW 58.17.035.</w:t>
      </w:r>
    </w:p>
    <w:p>
      <w:pPr>
        <w:spacing w:before="0" w:after="0" w:line="408" w:lineRule="exact"/>
        <w:ind w:left="0" w:right="0" w:firstLine="576"/>
        <w:jc w:val="left"/>
      </w:pPr>
      <w:r>
        <w:rPr/>
        <w:t xml:space="preserve">(c) "Tiny house with wheels" means a dwelling to be used as permanent housing with permanent provisions for living, sleeping, eating, cooking, and sanitation built by a manufacturer that is self-certified under RCW 43.22.355.</w:t>
      </w:r>
    </w:p>
    <w:p/>
    <w:p>
      <w:pPr>
        <w:jc w:val="center"/>
      </w:pPr>
      <w:r>
        <w:rPr>
          <w:b/>
        </w:rPr>
        <w:t>--- END ---</w:t>
      </w:r>
    </w:p>
    <w:sectPr>
      <w:pgNumType w:start="1"/>
      <w:footerReference xmlns:r="http://schemas.openxmlformats.org/officeDocument/2006/relationships" r:id="R7c8d50678cf343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b474e88e5546d2" /><Relationship Type="http://schemas.openxmlformats.org/officeDocument/2006/relationships/footer" Target="/word/footer1.xml" Id="R7c8d50678cf343aa" /></Relationships>
</file>