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00b6ae3e2b448c" /></Relationships>
</file>

<file path=word/document.xml><?xml version="1.0" encoding="utf-8"?>
<w:document xmlns:w="http://schemas.openxmlformats.org/wordprocessingml/2006/main">
  <w:body>
    <w:p>
      <w:r>
        <w:t>S-6199.1</w:t>
      </w:r>
    </w:p>
    <w:p>
      <w:pPr>
        <w:jc w:val="center"/>
      </w:pPr>
      <w:r>
        <w:t>_______________________________________________</w:t>
      </w:r>
    </w:p>
    <w:p/>
    <w:p>
      <w:pPr>
        <w:jc w:val="center"/>
      </w:pPr>
      <w:r>
        <w:rPr>
          <w:b/>
        </w:rPr>
        <w:t>SECOND SUBSTITUTE SENATE BILL 5299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Padden, Frockt, Kuderer, and Wagoner)</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46.61.502, 46.61.5055, 46.61.504, and 9.94A.525;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2018 c 201 s 9009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term of imprisonment and electronic home monitoring under this subsection (2)(a)(i), the court may order a minimum of four days in jail and either one hundred eighty days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imprisonment and electronic home monitoring under this subsection (2)(b)(i), the court may order a minimum of six days in jail and either six months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w:t>
      </w:r>
      <w:r>
        <w:rPr>
          <w:b/>
        </w:rPr>
        <w:t xml:space="preserve"> or more prior offenses in </w:t>
      </w:r>
      <w:r>
        <w:t>((</w:t>
      </w:r>
      <w:r>
        <w:rPr>
          <w:b/>
          <w:strike/>
        </w:rPr>
        <w:t xml:space="preserve">ten</w:t>
      </w:r>
      <w:r>
        <w:t>))</w:t>
      </w:r>
      <w:r>
        <w:rPr>
          <w:b/>
        </w:rPr>
        <w:t xml:space="preserve"> </w:t>
      </w:r>
      <w:r>
        <w:rPr>
          <w:b/>
          <w:u w:val="single"/>
        </w:rPr>
        <w:t xml:space="preserve">fifteen</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prior offense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fifteen</w:t>
      </w:r>
      <w:r>
        <w:rPr/>
        <w:t xml:space="preserve"> years" means that the arrest for a prior offense occurred within </w:t>
      </w:r>
      <w:r>
        <w:t>((</w:t>
      </w:r>
      <w:r>
        <w:rPr>
          <w:strike/>
        </w:rPr>
        <w:t xml:space="preserve">ten</w:t>
      </w:r>
      <w:r>
        <w:t>))</w:t>
      </w:r>
      <w:r>
        <w:rPr/>
        <w:t xml:space="preserve"> </w:t>
      </w:r>
      <w:r>
        <w:rPr>
          <w:u w:val="single"/>
        </w:rPr>
        <w:t xml:space="preserve">fifteen</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fifteen</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2017 c 272 s 3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w:t>
      </w:r>
      <w:r>
        <w:t>((</w:t>
      </w:r>
      <w:r>
        <w:rPr>
          <w:strike/>
        </w:rPr>
        <w:t xml:space="preserve">9A.44.130 or</w:t>
      </w:r>
      <w:r>
        <w:t>))</w:t>
      </w:r>
      <w:r>
        <w:rPr/>
        <w:t xml:space="preserve"> 9A.44.132, count priors as in subsections (7) through (11) and (13) through (16) of this section; however count three points for each adult and juvenile prior sex offense conviction, excluding prior convictions for failure to register as a sex offender under RCW </w:t>
      </w:r>
      <w:r>
        <w:t>((</w:t>
      </w:r>
      <w:r>
        <w:rPr>
          <w:strike/>
        </w:rPr>
        <w:t xml:space="preserve">9A.44.130 or</w:t>
      </w:r>
      <w:r>
        <w:t>))</w:t>
      </w:r>
      <w:r>
        <w:rPr/>
        <w:t xml:space="preserve">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Washington association of sheriffs and police chiefs shall review current laws and regulations regarding the sentencing structure for impaired driving offenses in an effort to reduce fatalities from individuals driving under the influence. The review must include looking at lookback periods, number of previous offenses, and other possible recommendations to reduce these fatalities. The Washington association of sheriffs and police chiefs shall provide its recommendations to the governor and appropriate committees of the legislature by December 1, 2020.</w:t>
      </w:r>
    </w:p>
    <w:p>
      <w:pPr>
        <w:spacing w:before="0" w:after="0" w:line="408" w:lineRule="exact"/>
        <w:ind w:left="0" w:right="0" w:firstLine="576"/>
        <w:jc w:val="left"/>
      </w:pPr>
      <w:r>
        <w:rPr/>
        <w:t xml:space="preserve">(2) This section expires June 30, 2021.</w:t>
      </w:r>
    </w:p>
    <w:p/>
    <w:p>
      <w:pPr>
        <w:jc w:val="center"/>
      </w:pPr>
      <w:r>
        <w:rPr>
          <w:b/>
        </w:rPr>
        <w:t>--- END ---</w:t>
      </w:r>
    </w:p>
    <w:sectPr>
      <w:pgNumType w:start="1"/>
      <w:footerReference xmlns:r="http://schemas.openxmlformats.org/officeDocument/2006/relationships" r:id="Ra5a6cf59fd8144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8acc6809c5466d" /><Relationship Type="http://schemas.openxmlformats.org/officeDocument/2006/relationships/footer" Target="/word/footer1.xml" Id="Ra5a6cf59fd81442b" /></Relationships>
</file>