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b32cba1c0c432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Cleveland, Darneille, Short, Kuderer, Walsh, Brown, Randall, Dhingra, Rolfes, Billig, Das, Hunt, Keiser, and Pedersen</w:t>
      </w:r>
    </w:p>
    <w:p/>
    <w:p>
      <w:r>
        <w:rPr>
          <w:t xml:space="preserve">Read first time 01/16/19.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pelvic exams; amending RCW 18.130.180; adding a new section to chapter 18.130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may not knowingly perform or authorize a student practicing under their authority to perform a pelvic examination on a patient who is anesthetized or unconscious unless:</w:t>
      </w:r>
    </w:p>
    <w:p>
      <w:pPr>
        <w:spacing w:before="0" w:after="0" w:line="408" w:lineRule="exact"/>
        <w:ind w:left="0" w:right="0" w:firstLine="576"/>
        <w:jc w:val="left"/>
      </w:pPr>
      <w:r>
        <w:rPr/>
        <w:t xml:space="preserve">(a) The patient or a person authorized to make health care decisions for the patient gave specific informed consent to the examination; or</w:t>
      </w:r>
    </w:p>
    <w:p>
      <w:pPr>
        <w:spacing w:before="0" w:after="0" w:line="408" w:lineRule="exact"/>
        <w:ind w:left="0" w:right="0" w:firstLine="576"/>
        <w:jc w:val="left"/>
      </w:pPr>
      <w:r>
        <w:rPr/>
        <w:t xml:space="preserve">(b) The examination is necessary for diagnostic or treatment purposes.</w:t>
      </w:r>
    </w:p>
    <w:p>
      <w:pPr>
        <w:spacing w:before="0" w:after="0" w:line="408" w:lineRule="exact"/>
        <w:ind w:left="0" w:right="0" w:firstLine="576"/>
        <w:jc w:val="left"/>
      </w:pPr>
      <w:r>
        <w:rPr/>
        <w:t xml:space="preserve">(2) A licensed health care provider who violates subsection (1) of this section is subject to discipline pursuant to this chapter, the uniform disciplinary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2019 c 427 s 17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48.49.020 or 48.49.030;</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r>
        <w:rPr>
          <w:u w:val="single"/>
        </w:rPr>
        <w:t xml:space="preserve">;</w:t>
      </w:r>
    </w:p>
    <w:p>
      <w:pPr>
        <w:spacing w:before="0" w:after="0" w:line="408" w:lineRule="exact"/>
        <w:ind w:left="0" w:right="0" w:firstLine="576"/>
        <w:jc w:val="left"/>
      </w:pPr>
      <w:r>
        <w:rPr>
          <w:u w:val="single"/>
        </w:rPr>
        <w:t xml:space="preserve">(28) Violation of section 1 of this act</w:t>
      </w:r>
      <w:r>
        <w:rPr/>
        <w:t xml:space="preserve">.</w:t>
      </w:r>
    </w:p>
    <w:p/>
    <w:p>
      <w:pPr>
        <w:jc w:val="center"/>
      </w:pPr>
      <w:r>
        <w:rPr>
          <w:b/>
        </w:rPr>
        <w:t>--- END ---</w:t>
      </w:r>
    </w:p>
    <w:sectPr>
      <w:pgNumType w:start="1"/>
      <w:footerReference xmlns:r="http://schemas.openxmlformats.org/officeDocument/2006/relationships" r:id="R8f045e5605604c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4bc23729d4bb2" /><Relationship Type="http://schemas.openxmlformats.org/officeDocument/2006/relationships/footer" Target="/word/footer1.xml" Id="R8f045e5605604cb2" /></Relationships>
</file>