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dac86c84c448b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Kuderer, Wellman, Cleveland, McCoy, Dhingra, Saldaña, Billig, Mullet, Liias, Conway, Das, Frockt, Keiser, and Palumbo</w:t>
      </w:r>
    </w:p>
    <w:p/>
    <w:p>
      <w:r>
        <w:rPr>
          <w:t xml:space="preserve">Read first time 01/16/19.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amending RCW 29A.56.020, 29A.56.040, 29A.56.050, 29A.60.190, 29A.08.161, and 29A.04.206; adding a new section to chapter 29A.56 RCW; decodifying RCW 29A.56.010; and repealing RCW 29A.56.030.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w:t>
      </w:r>
    </w:p>
    <w:p>
      <w:pPr>
        <w:spacing w:before="0" w:after="0" w:line="408" w:lineRule="exact"/>
        <w:ind w:left="0" w:right="0" w:firstLine="576"/>
        <w:jc w:val="left"/>
      </w:pPr>
      <w:r>
        <w:rPr>
          <w:u w:val="single"/>
        </w:rPr>
        <w:t xml:space="preserve">(2)(a)</w:t>
      </w:r>
      <w:r>
        <w:rPr/>
        <w:t xml:space="preserve"> The secretary of state may propose an alternative date for the primary</w:t>
      </w:r>
      <w:r>
        <w:rPr>
          <w:u w:val="single"/>
        </w:rPr>
        <w:t xml:space="preserve">, including to coordinate a regional primary with any of the following states: Alaska, Arizona, California, Hawaii, Idaho, Montana, Nevada, Oregon, and Utah,</w:t>
      </w:r>
      <w:r>
        <w:rPr/>
        <w:t xml:space="preserve"> no later than the first day of </w:t>
      </w:r>
      <w:r>
        <w:t>((</w:t>
      </w:r>
      <w:r>
        <w:rPr>
          <w:strike/>
        </w:rPr>
        <w:t xml:space="preserve">August</w:t>
      </w:r>
      <w:r>
        <w:t>))</w:t>
      </w:r>
      <w:r>
        <w:rPr/>
        <w:t xml:space="preserve"> </w:t>
      </w:r>
      <w:r>
        <w:rPr>
          <w:u w:val="single"/>
        </w:rPr>
        <w:t xml:space="preserve">September</w:t>
      </w:r>
      <w:r>
        <w:rPr/>
        <w:t xml:space="preserve"> of the year before the year in which a president is to be nominated and elected. </w:t>
      </w:r>
      <w:r>
        <w:rPr>
          <w:u w:val="single"/>
        </w:rPr>
        <w:t xml:space="preserve">The proposed date must not be prior to the earliest date permitted by the national rules of the major political parties.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 later than the </w:t>
      </w:r>
      <w:r>
        <w:t>((</w:t>
      </w:r>
      <w:r>
        <w:rPr>
          <w:strike/>
        </w:rPr>
        <w:t xml:space="preserve">first</w:t>
      </w:r>
      <w:r>
        <w:t>))</w:t>
      </w:r>
      <w:r>
        <w:rPr/>
        <w:t xml:space="preserve"> </w:t>
      </w:r>
      <w:r>
        <w:rPr>
          <w:u w:val="single"/>
        </w:rPr>
        <w:t xml:space="preserve">fifteenth</w:t>
      </w:r>
      <w:r>
        <w:rPr/>
        <w:t xml:space="preserve"> day of September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w:t>
      </w:r>
      <w:r>
        <w:t>((</w:t>
      </w:r>
      <w:r>
        <w:rPr>
          <w:strike/>
        </w:rPr>
        <w:t xml:space="preserve">(1) or</w:t>
      </w:r>
      <w:r>
        <w:t>))</w:t>
      </w:r>
      <w:r>
        <w:rPr/>
        <w:t xml:space="preserve"> (2)</w:t>
      </w:r>
      <w:r>
        <w:rPr>
          <w:u w:val="single"/>
        </w:rPr>
        <w:t xml:space="preserve">(a) or (b)</w:t>
      </w:r>
      <w:r>
        <w:rPr/>
        <w:t xml:space="preserve">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first day of October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w:t>
      </w:r>
      <w:r>
        <w:t>((</w:t>
      </w:r>
      <w:r>
        <w:rPr>
          <w:strike/>
        </w:rPr>
        <w:t xml:space="preserve">RCW 29A.56.030</w:t>
      </w:r>
      <w:r>
        <w:t>))</w:t>
      </w:r>
      <w:r>
        <w:rPr/>
        <w:t xml:space="preserve"> </w:t>
      </w:r>
      <w:r>
        <w:rPr>
          <w:u w:val="single"/>
        </w:rPr>
        <w:t xml:space="preserve">section 2 of this act</w:t>
      </w:r>
      <w:r>
        <w:rPr/>
        <w:t xml:space="preserve"> and related provisions of this chapter to correspond with the date that has been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party must determine which candidates are to be placed on the presidential primary ballot for that party. The chair of each party must submit to the secretary of state the names of the candidates to appear on the ballot for that party no later than sixty-three days before the presidential primary. Once submitted, changes must not be made to the candidates that will appear on the ballot.</w:t>
      </w:r>
    </w:p>
    <w:p>
      <w:pPr>
        <w:spacing w:before="0" w:after="0" w:line="408" w:lineRule="exact"/>
        <w:ind w:left="0" w:right="0" w:firstLine="576"/>
        <w:jc w:val="left"/>
      </w:pPr>
      <w:r>
        <w:rPr/>
        <w:t xml:space="preserve">(2) No later than the seventh day before the presidential nomination primary, the chair of each party must submit to the secretary of state the names of write-in candidates, if any, to be counted for that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2013 c 11 s 54 are each amended to read as follows:</w:t>
      </w:r>
    </w:p>
    <w:p>
      <w:pPr>
        <w:spacing w:before="0" w:after="0" w:line="408" w:lineRule="exact"/>
        <w:ind w:left="0" w:right="0" w:firstLine="576"/>
        <w:jc w:val="left"/>
      </w:pPr>
      <w:r>
        <w:rPr/>
        <w:t xml:space="preserve">(1) 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t xml:space="preserve">(2) The arrangement and form of presidential primary ballots must be established by administrative rule adopted under RCW 29A.04.620</w:t>
      </w:r>
      <w:r>
        <w:rPr>
          <w:u w:val="single"/>
        </w:rPr>
        <w:t xml:space="preserve">, and in consultation with the major political parties</w:t>
      </w:r>
      <w:r>
        <w:rPr/>
        <w:t xml:space="preserve">. Only the candidates who have </w:t>
      </w:r>
      <w:r>
        <w:t>((</w:t>
      </w:r>
      <w:r>
        <w:rPr>
          <w:strike/>
        </w:rPr>
        <w:t xml:space="preserve">qualified under RCW 29A.56.030</w:t>
      </w:r>
      <w:r>
        <w:t>))</w:t>
      </w:r>
      <w:r>
        <w:rPr/>
        <w:t xml:space="preserve"> </w:t>
      </w:r>
      <w:r>
        <w:rPr>
          <w:u w:val="single"/>
        </w:rPr>
        <w:t xml:space="preserve">been submitted under section 2 of this act</w:t>
      </w:r>
      <w:r>
        <w:rPr/>
        <w:t xml:space="preserve"> may appear on the ballots.</w:t>
      </w:r>
    </w:p>
    <w:p>
      <w:pPr>
        <w:spacing w:before="0" w:after="0" w:line="408" w:lineRule="exact"/>
        <w:ind w:left="0" w:right="0" w:firstLine="576"/>
        <w:jc w:val="left"/>
      </w:pPr>
      <w:r>
        <w:rPr/>
        <w:t xml:space="preserve">(3) Each party's ballot or portion of the ballot must list alphabetically the names of all candidates for the office of president </w:t>
      </w:r>
      <w:r>
        <w:rPr>
          <w:u w:val="single"/>
        </w:rPr>
        <w:t xml:space="preserve">for that party</w:t>
      </w:r>
      <w:r>
        <w:rPr/>
        <w:t xml:space="preserve">. The ballot must clearly indicate the political party of each candidate. </w:t>
      </w:r>
      <w:r>
        <w:t>((</w:t>
      </w:r>
      <w:r>
        <w:rPr>
          <w:strike/>
        </w:rPr>
        <w:t xml:space="preserve">Each ballot must include a blank space to allow the voter to write in the name of any other candidate.</w:t>
      </w:r>
      <w:r>
        <w:t>))</w:t>
      </w:r>
    </w:p>
    <w:p>
      <w:pPr>
        <w:spacing w:before="0" w:after="0" w:line="408" w:lineRule="exact"/>
        <w:ind w:left="0" w:right="0" w:firstLine="576"/>
        <w:jc w:val="left"/>
      </w:pPr>
      <w:r>
        <w:rPr/>
        <w:t xml:space="preserve">(4) </w:t>
      </w:r>
      <w:r>
        <w:rPr>
          <w:u w:val="single"/>
        </w:rPr>
        <w:t xml:space="preserve">If requested by a party chair, the ballot for that party must contain a place for a voter to indicate a preference for having delegates to the party's national convention remain uncommitted. A request under this subsection must be submitted to the secretary of state no later than sixty-three days before the presidential primary.</w:t>
      </w:r>
    </w:p>
    <w:p>
      <w:pPr>
        <w:spacing w:before="0" w:after="0" w:line="408" w:lineRule="exact"/>
        <w:ind w:left="0" w:right="0" w:firstLine="576"/>
        <w:jc w:val="left"/>
      </w:pPr>
      <w:r>
        <w:rPr>
          <w:u w:val="single"/>
        </w:rPr>
        <w:t xml:space="preserve">(5)</w:t>
      </w:r>
      <w:r>
        <w:rPr/>
        <w:t xml:space="preserve">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0" w:after="0" w:line="408" w:lineRule="exact"/>
        <w:ind w:left="0" w:right="0" w:firstLine="576"/>
        <w:jc w:val="left"/>
      </w:pPr>
      <w:r>
        <w:rPr>
          <w:u w:val="single"/>
        </w:rPr>
        <w:t xml:space="preserve">(6) Notice must be published in the manner required by RCW 29A.52.355.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Voters who subscribe to a specific political party declaration under this section </w:t>
      </w:r>
      <w:r>
        <w:rPr>
          <w:u w:val="single"/>
        </w:rPr>
        <w:t xml:space="preserve">may only vote for a candidate of that party. Each list of candidates on ballots</w:t>
      </w:r>
      <w:r>
        <w:rPr/>
        <w:t xml:space="preserve"> must be </w:t>
      </w:r>
      <w:r>
        <w:t>((</w:t>
      </w:r>
      <w:r>
        <w:rPr>
          <w:strike/>
        </w:rPr>
        <w:t xml:space="preserve">given ballots that are</w:t>
      </w:r>
      <w:r>
        <w:t>))</w:t>
      </w:r>
      <w:r>
        <w:rPr/>
        <w:t xml:space="preserve"> readily distinguishable from </w:t>
      </w:r>
      <w:r>
        <w:t>((</w:t>
      </w:r>
      <w:r>
        <w:rPr>
          <w:strike/>
        </w:rPr>
        <w:t xml:space="preserve">those given to other voters</w:t>
      </w:r>
      <w:r>
        <w:t>))</w:t>
      </w:r>
      <w:r>
        <w:rPr/>
        <w:t xml:space="preserve"> </w:t>
      </w:r>
      <w:r>
        <w:rPr>
          <w:u w:val="single"/>
        </w:rPr>
        <w:t xml:space="preserve">the list of candidates for any other party</w:t>
      </w:r>
      <w:r>
        <w:rPr/>
        <w:t xml:space="preserve">.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2015 c 146 s 4 are each amended to read as follows:</w:t>
      </w:r>
    </w:p>
    <w:p>
      <w:pPr>
        <w:spacing w:before="0" w:after="0" w:line="408" w:lineRule="exact"/>
        <w:ind w:left="0" w:right="0" w:firstLine="576"/>
        <w:jc w:val="left"/>
      </w:pPr>
      <w:r>
        <w:rPr/>
        <w:t xml:space="preserve">Ten days after a special election held in February or April, </w:t>
      </w:r>
      <w:r>
        <w:rPr>
          <w:u w:val="single"/>
        </w:rPr>
        <w:t xml:space="preserve">ten days after a presidential primary held pursuant to chapter 29A.56 RCW,</w:t>
      </w:r>
      <w:r>
        <w:rPr/>
        <w:t xml:space="preserve"> fourteen days after a primary, or twenty-one days after a general election, the county canvassing board shall complete the canvass and certify the results. Each ballot that was returned before 8:00 p.m. on the day of the special election, general election, </w:t>
      </w:r>
      <w:r>
        <w:t>((</w:t>
      </w:r>
      <w:r>
        <w:rPr>
          <w:strike/>
        </w:rPr>
        <w:t xml:space="preserve">or</w:t>
      </w:r>
      <w:r>
        <w:t>))</w:t>
      </w:r>
      <w:r>
        <w:rPr/>
        <w:t xml:space="preserve"> primary, </w:t>
      </w:r>
      <w:r>
        <w:rPr>
          <w:u w:val="single"/>
        </w:rPr>
        <w:t xml:space="preserve">or presidential primary,</w:t>
      </w:r>
      <w:r>
        <w:rPr/>
        <w:t xml:space="preserve"> and each ballot bearing a postmark on or before the date of the special election, general election, </w:t>
      </w:r>
      <w:r>
        <w:t>((</w:t>
      </w:r>
      <w:r>
        <w:rPr>
          <w:strike/>
        </w:rPr>
        <w:t xml:space="preserve">or</w:t>
      </w:r>
      <w:r>
        <w:t>))</w:t>
      </w:r>
      <w:r>
        <w:rPr/>
        <w:t xml:space="preserve"> primary</w:t>
      </w:r>
      <w:r>
        <w:rPr>
          <w:u w:val="single"/>
        </w:rPr>
        <w:t xml:space="preserve">, or presidential primary</w:t>
      </w:r>
      <w:r>
        <w:rPr/>
        <w:t xml:space="preserve">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161</w:t>
      </w:r>
      <w:r>
        <w:rPr/>
        <w:t xml:space="preserve"> and 2004 c 271 s 107 are each amended to read as follows:</w:t>
      </w:r>
    </w:p>
    <w:p>
      <w:pPr>
        <w:spacing w:before="0" w:after="0" w:line="408" w:lineRule="exact"/>
        <w:ind w:left="0" w:right="0" w:firstLine="576"/>
        <w:jc w:val="left"/>
      </w:pPr>
      <w:r>
        <w:rPr/>
        <w:t xml:space="preserve">No record may be created or maintained by a state or local governmental agency or a political organization that identifies a voter with the information marked on the voter's ballot, </w:t>
      </w:r>
      <w:r>
        <w:t>((</w:t>
      </w:r>
      <w:r>
        <w:rPr>
          <w:strike/>
        </w:rPr>
        <w:t xml:space="preserve">including the choice that a voter makes on a partisan primary ballot regarding political party affiliation</w:t>
      </w:r>
      <w:r>
        <w:t>))</w:t>
      </w:r>
      <w:r>
        <w:rPr/>
        <w:t xml:space="preserve"> </w:t>
      </w:r>
      <w:r>
        <w:rPr>
          <w:u w:val="single"/>
        </w:rPr>
        <w:t xml:space="preserve">except the declarations made under RCW 29A.56.050(2)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206</w:t>
      </w:r>
      <w:r>
        <w:rPr/>
        <w:t xml:space="preserve"> and 2005 c 2 s 3 are each amended to read as follows:</w:t>
      </w:r>
    </w:p>
    <w:p>
      <w:pPr>
        <w:spacing w:before="0" w:after="0" w:line="408" w:lineRule="exact"/>
        <w:ind w:left="0" w:right="0" w:firstLine="576"/>
        <w:jc w:val="left"/>
      </w:pPr>
      <w:r>
        <w:rPr>
          <w:u w:val="single"/>
        </w:rPr>
        <w:t xml:space="preserve">(1)</w:t>
      </w:r>
      <w:r>
        <w:rPr/>
        <w:t xml:space="preserve"> The rights of Washington voters are protected by its constitution and laws and include the following fundamental rights: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right of qualified voters to vote at all elections;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right of absolute secrecy of the vote. No voter may be required to disclose political faith or adherence in order to vote;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cast a vote for any candidate for each office without any limitation based on party preference or affiliation, of either the voter or the candidate.</w:t>
      </w:r>
    </w:p>
    <w:p>
      <w:pPr>
        <w:spacing w:before="0" w:after="0" w:line="408" w:lineRule="exact"/>
        <w:ind w:left="0" w:right="0" w:firstLine="576"/>
        <w:jc w:val="left"/>
      </w:pPr>
      <w:r>
        <w:rPr>
          <w:u w:val="single"/>
        </w:rPr>
        <w:t xml:space="preserve">(2) Nothing in subsection (1)(b) or (c) of this section alters or supersedes RCW 29A.56.020 through 29A.56.050, which govern presidential primary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(Intent)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(Ballot</w:t>
      </w:r>
      <w:r>
        <w:rPr>
          <w:rFonts w:ascii="Times New Roman" w:hAnsi="Times New Roman"/>
        </w:rPr>
        <w:t xml:space="preserve">—</w:t>
      </w:r>
      <w:r>
        <w:rPr/>
        <w:t xml:space="preserve">Names included) and 2011 c 349 s 19, 2006 c 344 s 15, &amp; 2003 c 111 s 1403 are each repealed.</w:t>
      </w:r>
    </w:p>
    <w:p/>
    <w:p>
      <w:pPr>
        <w:jc w:val="center"/>
      </w:pPr>
      <w:r>
        <w:rPr>
          <w:b/>
        </w:rPr>
        <w:t>--- END ---</w:t>
      </w:r>
    </w:p>
    <w:sectPr>
      <w:pgNumType w:start="1"/>
      <w:footerReference xmlns:r="http://schemas.openxmlformats.org/officeDocument/2006/relationships" r:id="Rcdeb60fefb8942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7da231bd643e2" /><Relationship Type="http://schemas.openxmlformats.org/officeDocument/2006/relationships/footer" Target="/word/footer1.xml" Id="Rcdeb60fefb894232" /></Relationships>
</file>