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75e76ffc0e4360" /></Relationships>
</file>

<file path=word/document.xml><?xml version="1.0" encoding="utf-8"?>
<w:document xmlns:w="http://schemas.openxmlformats.org/wordprocessingml/2006/main">
  <w:body>
    <w:p>
      <w:r>
        <w:t>S-0235.1</w:t>
      </w:r>
    </w:p>
    <w:p>
      <w:pPr>
        <w:jc w:val="center"/>
      </w:pPr>
      <w:r>
        <w:t>_______________________________________________</w:t>
      </w:r>
    </w:p>
    <w:p/>
    <w:p>
      <w:pPr>
        <w:jc w:val="center"/>
      </w:pPr>
      <w:r>
        <w:rPr>
          <w:b/>
        </w:rPr>
        <w:t>SENATE BILL 5202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and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ability of business and nonprofit entities to obtain a marijuana license;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w:t>
      </w:r>
      <w:r>
        <w:t>((</w:t>
      </w:r>
      <w:r>
        <w:rPr>
          <w:strike/>
        </w:rPr>
        <w:t xml:space="preserve">state liquor and cannabis</w:t>
      </w:r>
      <w:r>
        <w:t>))</w:t>
      </w:r>
      <w:r>
        <w:rPr/>
        <w:t xml:space="preserve"> board may consider any prior criminal conduct of the applicant including an administrative violation history record with the </w:t>
      </w:r>
      <w:r>
        <w:t>((</w:t>
      </w:r>
      <w:r>
        <w:rPr>
          <w:strike/>
        </w:rPr>
        <w:t xml:space="preserve">state liquor and cannabis</w:t>
      </w:r>
      <w:r>
        <w:t>))</w:t>
      </w:r>
      <w:r>
        <w:rPr/>
        <w:t xml:space="preserve"> board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registration under chapter 23.95 RCW. Any natural person holding more than ten percent interest in the entity must possess the same qualifications required of the licensee, with the exception of any residency requirement</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r>
        <w:rPr>
          <w:u w:val="single"/>
        </w:rPr>
        <w:t xml:space="preserve">, with the exception of any residency requirement.</w:t>
      </w:r>
    </w:p>
    <w:p>
      <w:pPr>
        <w:spacing w:before="0" w:after="0" w:line="408" w:lineRule="exact"/>
        <w:ind w:left="0" w:right="0" w:firstLine="576"/>
        <w:jc w:val="left"/>
      </w:pPr>
      <w:r>
        <w:rPr>
          <w:u w:val="single"/>
        </w:rPr>
        <w:t xml:space="preserve">(c) The board may impose additional licensing fees to recover any additional costs incurred in investigating any nonresident required to be investigated under this section.  If, after reasonable efforts, the board is unable to investigate any nonresident required to be investigated under this section, in accordance with the investigatory standards applicable to the investigation of a state resident, the board has discretionary authority to deny a license or license renewal to an entity</w:t>
      </w:r>
      <w:r>
        <w:rPr/>
        <w:t xml:space="preserve">.</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w:t>
      </w:r>
      <w:r>
        <w:t>((</w:t>
      </w:r>
      <w:r>
        <w:rPr>
          <w:strike/>
        </w:rPr>
        <w:t xml:space="preserve">to</w:t>
      </w:r>
      <w:r>
        <w:t>))</w:t>
      </w:r>
      <w:r>
        <w:rPr/>
        <w:t xml:space="preserve"> receive testimony in any inquiry, investigation, hearing, or proceeding in any part of the state,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may in its discretion hold, a hearing subject to the applicable provisions of Title 34 RCW. If the </w:t>
      </w:r>
      <w:r>
        <w:t>((</w:t>
      </w:r>
      <w:r>
        <w:rPr>
          <w:strike/>
        </w:rPr>
        <w:t xml:space="preserve">state liquor and cannabis</w:t>
      </w:r>
      <w:r>
        <w:t>))</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state liquor and cannabis</w:t>
      </w:r>
      <w:r>
        <w:t>))</w:t>
      </w:r>
      <w:r>
        <w:rPr/>
        <w:t xml:space="preserve"> board representatives must present and defend the </w:t>
      </w:r>
      <w:r>
        <w:t>((</w:t>
      </w:r>
      <w:r>
        <w:rPr>
          <w:strike/>
        </w:rPr>
        <w:t xml:space="preserve">state liquor and cannabis</w:t>
      </w:r>
      <w:r>
        <w:t>))</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 board</w:t>
      </w:r>
      <w:r>
        <w:t>))</w:t>
      </w:r>
      <w:r>
        <w:rPr/>
        <w:t xml:space="preserve">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w:t>
      </w:r>
      <w:r>
        <w:t>((</w:t>
      </w:r>
      <w:r>
        <w:rPr>
          <w:strike/>
        </w:rPr>
        <w:t xml:space="preserve">state liquor and cannabis</w:t>
      </w:r>
      <w:r>
        <w:t>))</w:t>
      </w:r>
      <w:r>
        <w:rPr/>
        <w:t xml:space="preserv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1d068df7280d43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911eb494c4868" /><Relationship Type="http://schemas.openxmlformats.org/officeDocument/2006/relationships/footer" Target="/word/footer1.xml" Id="R1d068df7280d4349" /></Relationships>
</file>