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15bb76fe54c1d" /></Relationships>
</file>

<file path=word/document.xml><?xml version="1.0" encoding="utf-8"?>
<w:document xmlns:w="http://schemas.openxmlformats.org/wordprocessingml/2006/main">
  <w:body>
    <w:p>
      <w:r>
        <w:t>S-0109.1</w:t>
      </w:r>
    </w:p>
    <w:p>
      <w:pPr>
        <w:jc w:val="center"/>
      </w:pPr>
      <w:r>
        <w:t>_______________________________________________</w:t>
      </w:r>
    </w:p>
    <w:p/>
    <w:p>
      <w:pPr>
        <w:jc w:val="center"/>
      </w:pPr>
      <w:r>
        <w:rPr>
          <w:b/>
        </w:rPr>
        <w:t>SENATE BILL 5181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Saldaña, Pedersen, Wilson, C., Dhingra, Billig, Takko, McCoy, Hunt, Cleveland, Wellman, Darneille, Carlyle, Das,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procedures upon initial detention under the involuntary treatment act; amending RCW 9.41.047; adding a new section to chapter 71.05 RCW; and adding a new section to chapter 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must comply with the provisions of RCW 9.41.345 when returning a firearm pursuant to this section.</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section 1 of this act,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2018 c 201 s 6001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by reason of having been detained under RCW 71.05.150 or 71.05.153,</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detention</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detention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 </w:t>
      </w:r>
      <w:r>
        <w:rPr>
          <w:u w:val="single"/>
        </w:rPr>
        <w:t xml:space="preserve">In the case of a person whose right to possess a firearm has been suspended for six months as provided in section 1 of this act,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bba1b8364d3f4d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88619d3674aa6" /><Relationship Type="http://schemas.openxmlformats.org/officeDocument/2006/relationships/footer" Target="/word/footer1.xml" Id="Rbba1b8364d3f4d57" /></Relationships>
</file>